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01829" w14:textId="19219767" w:rsidR="00B226BC" w:rsidRDefault="001E0463" w:rsidP="00B226BC">
      <w:r>
        <w:t>The r</w:t>
      </w:r>
      <w:r w:rsidR="00B226BC">
        <w:t xml:space="preserve">isk assessment is a systematic general examination of working conditions, workplace activities and environmental factors that will enable the Parish Council to identify </w:t>
      </w:r>
      <w:proofErr w:type="gramStart"/>
      <w:r w:rsidR="00B226BC">
        <w:t>any and all</w:t>
      </w:r>
      <w:proofErr w:type="gramEnd"/>
      <w:r w:rsidR="00B226BC">
        <w:t xml:space="preserve"> potential inherent risks.  The Parish Council, based on a recorded assessment, will take all practical and necessary steps to reduce or eliminate the risks, insofar as is practically possible. </w:t>
      </w:r>
    </w:p>
    <w:p w14:paraId="73C0A0F7" w14:textId="005847C9" w:rsidR="00B226BC" w:rsidRDefault="00B226BC" w:rsidP="00B226BC">
      <w:r>
        <w:t>This document has been produced to enable Weston on the Green Parish Council to assess the risks that it faces</w:t>
      </w:r>
      <w:r w:rsidR="00810D5F">
        <w:t xml:space="preserve"> with regards to the purchase of the playing field</w:t>
      </w:r>
      <w:r>
        <w:t xml:space="preserve"> and </w:t>
      </w:r>
      <w:r w:rsidR="00C14DBA">
        <w:t xml:space="preserve">spinney and </w:t>
      </w:r>
      <w:r>
        <w:t xml:space="preserve">satisfy itself that it has taken adequate steps to minimise them.  </w:t>
      </w:r>
    </w:p>
    <w:p w14:paraId="2FEAE7A9" w14:textId="7DA82631" w:rsidR="00810D5F" w:rsidRDefault="00810D5F" w:rsidP="00810D5F">
      <w:pPr>
        <w:pStyle w:val="PlainText"/>
      </w:pPr>
      <w:r>
        <w:t>There are two categories of risk associated with the purchase of the playing field</w:t>
      </w:r>
      <w:r w:rsidR="00C14DBA">
        <w:t>:</w:t>
      </w:r>
    </w:p>
    <w:p w14:paraId="21FA2A9E" w14:textId="14CCBDA0" w:rsidR="00810D5F" w:rsidRDefault="00810D5F" w:rsidP="00810D5F">
      <w:pPr>
        <w:pStyle w:val="PlainText"/>
      </w:pPr>
      <w:r>
        <w:t xml:space="preserve">1.  Risks associated with the purchase process </w:t>
      </w:r>
    </w:p>
    <w:p w14:paraId="7A1ED63C" w14:textId="4646648C" w:rsidR="00810D5F" w:rsidRDefault="00810D5F" w:rsidP="00810D5F">
      <w:pPr>
        <w:pStyle w:val="PlainText"/>
      </w:pPr>
      <w:r>
        <w:t>2. Risks associated with the management of the playing field.</w:t>
      </w:r>
    </w:p>
    <w:p w14:paraId="158C24E1" w14:textId="77777777" w:rsidR="008A1A65" w:rsidRDefault="008A1A65" w:rsidP="00810D5F">
      <w:pPr>
        <w:pStyle w:val="PlainText"/>
      </w:pPr>
    </w:p>
    <w:p w14:paraId="269F397A" w14:textId="25395AF0" w:rsidR="00810D5F" w:rsidRDefault="00810D5F" w:rsidP="00810D5F">
      <w:pPr>
        <w:pStyle w:val="PlainText"/>
      </w:pPr>
      <w:r>
        <w:t>The Parish Council currently lease the playing field from the Duchy of Cornwall and therefore the village risk register currently includes risks associated with the playing field</w:t>
      </w:r>
      <w:r w:rsidR="008A1A65">
        <w:t xml:space="preserve"> and spinney</w:t>
      </w:r>
      <w:r>
        <w:t xml:space="preserve">. Additional risks referenced here </w:t>
      </w:r>
      <w:r w:rsidR="008A1A65">
        <w:t xml:space="preserve">are </w:t>
      </w:r>
      <w:r>
        <w:t xml:space="preserve">associated with the Parish Council’s </w:t>
      </w:r>
      <w:r w:rsidR="008A1A65">
        <w:t xml:space="preserve">potential </w:t>
      </w:r>
      <w:r>
        <w:t>new role as owner of the playing field</w:t>
      </w:r>
      <w:r w:rsidR="008A1A65">
        <w:t xml:space="preserve"> and spinney.</w:t>
      </w:r>
    </w:p>
    <w:p w14:paraId="1BC9C535" w14:textId="77777777" w:rsidR="00810D5F" w:rsidRDefault="00810D5F" w:rsidP="00B226BC"/>
    <w:p w14:paraId="2D6F49E2" w14:textId="7899FB0A" w:rsidR="00505F44" w:rsidRPr="00810D5F" w:rsidRDefault="00810D5F" w:rsidP="00F306FD">
      <w:pPr>
        <w:pStyle w:val="ListParagraph"/>
        <w:numPr>
          <w:ilvl w:val="0"/>
          <w:numId w:val="1"/>
        </w:numPr>
        <w:rPr>
          <w:b/>
          <w:bCs/>
          <w:u w:val="single"/>
        </w:rPr>
      </w:pPr>
      <w:r w:rsidRPr="00810D5F">
        <w:rPr>
          <w:b/>
          <w:bCs/>
        </w:rPr>
        <w:t>Risks associated with the purchase process</w:t>
      </w:r>
    </w:p>
    <w:tbl>
      <w:tblPr>
        <w:tblStyle w:val="TableGrid"/>
        <w:tblW w:w="0" w:type="auto"/>
        <w:tblLook w:val="04A0" w:firstRow="1" w:lastRow="0" w:firstColumn="1" w:lastColumn="0" w:noHBand="0" w:noVBand="1"/>
      </w:tblPr>
      <w:tblGrid>
        <w:gridCol w:w="1888"/>
        <w:gridCol w:w="3439"/>
        <w:gridCol w:w="1521"/>
        <w:gridCol w:w="4346"/>
        <w:gridCol w:w="2754"/>
      </w:tblGrid>
      <w:tr w:rsidR="00B226BC" w:rsidRPr="001E0463" w14:paraId="7853E0AE" w14:textId="77777777" w:rsidTr="00FC79D1">
        <w:tc>
          <w:tcPr>
            <w:tcW w:w="1888" w:type="dxa"/>
          </w:tcPr>
          <w:p w14:paraId="17C9900B" w14:textId="4A8D027D" w:rsidR="00B226BC" w:rsidRPr="001E0463" w:rsidRDefault="00B226BC" w:rsidP="00B226BC">
            <w:pPr>
              <w:rPr>
                <w:b/>
              </w:rPr>
            </w:pPr>
            <w:r w:rsidRPr="001E0463">
              <w:rPr>
                <w:b/>
              </w:rPr>
              <w:t>Category</w:t>
            </w:r>
          </w:p>
        </w:tc>
        <w:tc>
          <w:tcPr>
            <w:tcW w:w="3439" w:type="dxa"/>
          </w:tcPr>
          <w:p w14:paraId="2AA7B5E9" w14:textId="76DFEFF6" w:rsidR="00B226BC" w:rsidRPr="001E0463" w:rsidRDefault="00B226BC" w:rsidP="00B226BC">
            <w:pPr>
              <w:rPr>
                <w:b/>
              </w:rPr>
            </w:pPr>
            <w:r w:rsidRPr="001E0463">
              <w:rPr>
                <w:b/>
              </w:rPr>
              <w:t>Risk (s) identified</w:t>
            </w:r>
          </w:p>
        </w:tc>
        <w:tc>
          <w:tcPr>
            <w:tcW w:w="1521" w:type="dxa"/>
          </w:tcPr>
          <w:p w14:paraId="7EFA8328" w14:textId="59F28588" w:rsidR="00B226BC" w:rsidRPr="001E0463" w:rsidRDefault="00B226BC" w:rsidP="00B226BC">
            <w:pPr>
              <w:rPr>
                <w:b/>
              </w:rPr>
            </w:pPr>
            <w:r w:rsidRPr="001E0463">
              <w:rPr>
                <w:b/>
              </w:rPr>
              <w:t>H/M/L Rating</w:t>
            </w:r>
          </w:p>
        </w:tc>
        <w:tc>
          <w:tcPr>
            <w:tcW w:w="4346" w:type="dxa"/>
          </w:tcPr>
          <w:p w14:paraId="6B869BBA" w14:textId="37087639" w:rsidR="00B226BC" w:rsidRPr="001E0463" w:rsidRDefault="00B226BC" w:rsidP="00B226BC">
            <w:pPr>
              <w:rPr>
                <w:b/>
              </w:rPr>
            </w:pPr>
            <w:r w:rsidRPr="001E0463">
              <w:rPr>
                <w:b/>
              </w:rPr>
              <w:t>Management / Control of Risk</w:t>
            </w:r>
          </w:p>
        </w:tc>
        <w:tc>
          <w:tcPr>
            <w:tcW w:w="2754" w:type="dxa"/>
          </w:tcPr>
          <w:p w14:paraId="261114B3" w14:textId="517DC81C" w:rsidR="00B226BC" w:rsidRPr="001E0463" w:rsidRDefault="00B226BC" w:rsidP="00B226BC">
            <w:pPr>
              <w:rPr>
                <w:b/>
              </w:rPr>
            </w:pPr>
            <w:r w:rsidRPr="001E0463">
              <w:rPr>
                <w:b/>
              </w:rPr>
              <w:t>Review/Assess/Revise</w:t>
            </w:r>
          </w:p>
        </w:tc>
      </w:tr>
      <w:tr w:rsidR="00B226BC" w14:paraId="5ECF7B4D" w14:textId="77777777" w:rsidTr="00FC79D1">
        <w:tc>
          <w:tcPr>
            <w:tcW w:w="1888" w:type="dxa"/>
          </w:tcPr>
          <w:p w14:paraId="44DF6241" w14:textId="4520BA87" w:rsidR="00B226BC" w:rsidRDefault="00C14DBA" w:rsidP="00B226BC">
            <w:r>
              <w:t>Purchase Process</w:t>
            </w:r>
          </w:p>
        </w:tc>
        <w:tc>
          <w:tcPr>
            <w:tcW w:w="3439" w:type="dxa"/>
          </w:tcPr>
          <w:p w14:paraId="23968F0E" w14:textId="00C6BB44" w:rsidR="00810D5F" w:rsidRDefault="00810D5F" w:rsidP="00810D5F">
            <w:pPr>
              <w:pStyle w:val="PlainText"/>
            </w:pPr>
            <w:r>
              <w:t>1a. Risk that the public do not feel the purchase price of the playing field has been sufficiently assessed against market rates.</w:t>
            </w:r>
          </w:p>
          <w:p w14:paraId="48C938F2" w14:textId="53C44CB3" w:rsidR="00B226BC" w:rsidRDefault="00B226BC" w:rsidP="00B226BC"/>
        </w:tc>
        <w:tc>
          <w:tcPr>
            <w:tcW w:w="1521" w:type="dxa"/>
          </w:tcPr>
          <w:p w14:paraId="6A9A73E1" w14:textId="106F789A" w:rsidR="00B226BC" w:rsidRDefault="00FD5944" w:rsidP="00B226BC">
            <w:r>
              <w:t>M</w:t>
            </w:r>
          </w:p>
        </w:tc>
        <w:tc>
          <w:tcPr>
            <w:tcW w:w="4346" w:type="dxa"/>
          </w:tcPr>
          <w:p w14:paraId="7F02FBC1" w14:textId="75AE56D3" w:rsidR="00B226BC" w:rsidRDefault="00FD5944" w:rsidP="00FA39A0">
            <w:pPr>
              <w:rPr>
                <w:color w:val="000000" w:themeColor="text1"/>
              </w:rPr>
            </w:pPr>
            <w:r w:rsidRPr="00FD5944">
              <w:rPr>
                <w:color w:val="000000" w:themeColor="text1"/>
              </w:rPr>
              <w:t xml:space="preserve">Reviewed and discussed by the Finance Group </w:t>
            </w:r>
            <w:r w:rsidR="00551C17">
              <w:rPr>
                <w:color w:val="000000" w:themeColor="text1"/>
              </w:rPr>
              <w:t>at</w:t>
            </w:r>
            <w:r w:rsidRPr="00FD5944">
              <w:rPr>
                <w:color w:val="000000" w:themeColor="text1"/>
              </w:rPr>
              <w:t xml:space="preserve"> </w:t>
            </w:r>
            <w:r w:rsidR="001C288E">
              <w:rPr>
                <w:color w:val="000000" w:themeColor="text1"/>
              </w:rPr>
              <w:t>1</w:t>
            </w:r>
            <w:r w:rsidRPr="00FD5944">
              <w:rPr>
                <w:color w:val="000000" w:themeColor="text1"/>
              </w:rPr>
              <w:t xml:space="preserve">5/08/20 Finance Group meeting. </w:t>
            </w:r>
          </w:p>
          <w:p w14:paraId="79E65F9F" w14:textId="77777777" w:rsidR="00FC79D1" w:rsidRPr="00FD5944" w:rsidRDefault="00FC79D1" w:rsidP="00FA39A0">
            <w:pPr>
              <w:rPr>
                <w:color w:val="000000" w:themeColor="text1"/>
              </w:rPr>
            </w:pPr>
          </w:p>
          <w:p w14:paraId="557716ED" w14:textId="49D50BB8" w:rsidR="00FD5944" w:rsidRDefault="00FD5944" w:rsidP="00FA39A0">
            <w:r>
              <w:t xml:space="preserve">Finance Group analysis of current agricultural land value at £9k p.a. with the proposed </w:t>
            </w:r>
            <w:r w:rsidR="008172D9">
              <w:t xml:space="preserve">field </w:t>
            </w:r>
            <w:r>
              <w:t>acreage at approximately 2.</w:t>
            </w:r>
            <w:r w:rsidR="008172D9">
              <w:t>726</w:t>
            </w:r>
            <w:r>
              <w:t xml:space="preserve"> acres suggests a</w:t>
            </w:r>
            <w:r w:rsidR="008172D9">
              <w:t xml:space="preserve"> </w:t>
            </w:r>
            <w:r>
              <w:t xml:space="preserve">land value </w:t>
            </w:r>
            <w:r w:rsidR="008172D9">
              <w:t xml:space="preserve">for the field </w:t>
            </w:r>
            <w:r>
              <w:t xml:space="preserve">of </w:t>
            </w:r>
            <w:r w:rsidR="007309F9">
              <w:t>c</w:t>
            </w:r>
            <w:r>
              <w:t>£2</w:t>
            </w:r>
            <w:r w:rsidR="008172D9">
              <w:t>4.5</w:t>
            </w:r>
            <w:r>
              <w:t>k</w:t>
            </w:r>
            <w:r w:rsidR="008172D9">
              <w:t xml:space="preserve"> </w:t>
            </w:r>
            <w:r w:rsidR="001C288E">
              <w:t>(</w:t>
            </w:r>
            <w:r w:rsidR="008172D9">
              <w:t>plus 1.189 ac of woodland</w:t>
            </w:r>
            <w:r w:rsidR="001C288E">
              <w:t>)</w:t>
            </w:r>
            <w:r>
              <w:t>. However, the land under discussion is more developed tha</w:t>
            </w:r>
            <w:r w:rsidR="00551C17">
              <w:t>n</w:t>
            </w:r>
            <w:r>
              <w:t xml:space="preserve"> agricultural land, with a recently replaced tree stock in the spinney, active playing field, car park, fencing and installed play</w:t>
            </w:r>
            <w:r w:rsidR="00551C17">
              <w:t>ground</w:t>
            </w:r>
            <w:r>
              <w:t>. Therefore</w:t>
            </w:r>
            <w:r w:rsidR="00551C17">
              <w:t>,</w:t>
            </w:r>
            <w:r>
              <w:t xml:space="preserve"> it is the assessment of the Finance </w:t>
            </w:r>
            <w:r>
              <w:lastRenderedPageBreak/>
              <w:t xml:space="preserve">Group that the purchase price </w:t>
            </w:r>
            <w:r w:rsidR="00A94853">
              <w:t xml:space="preserve">of £30k </w:t>
            </w:r>
            <w:r>
              <w:t xml:space="preserve">required by the Duchy for the sale to progress is not far from the true value of the land. </w:t>
            </w:r>
          </w:p>
          <w:p w14:paraId="1966B960" w14:textId="77777777" w:rsidR="00FC79D1" w:rsidRDefault="00FC79D1" w:rsidP="00FA39A0"/>
          <w:p w14:paraId="4AE73102" w14:textId="6F4BB63D" w:rsidR="00FD5944" w:rsidRDefault="00ED2D74" w:rsidP="00FA39A0">
            <w:r>
              <w:t>T</w:t>
            </w:r>
            <w:r w:rsidR="00FD5944">
              <w:t xml:space="preserve">he Finance Group discussed whether it necessary to appoint a surveyor to confirm the valuation. After </w:t>
            </w:r>
            <w:proofErr w:type="gramStart"/>
            <w:r w:rsidR="00FD5944">
              <w:t>debate</w:t>
            </w:r>
            <w:proofErr w:type="gramEnd"/>
            <w:r w:rsidR="00FD5944">
              <w:t xml:space="preserve"> a unanimous decision was made that it would be better to save the additional expense from public funds. </w:t>
            </w:r>
          </w:p>
          <w:p w14:paraId="425C6205" w14:textId="224FE435" w:rsidR="00FD5944" w:rsidRDefault="00FD5944" w:rsidP="00FA39A0"/>
        </w:tc>
        <w:tc>
          <w:tcPr>
            <w:tcW w:w="2754" w:type="dxa"/>
          </w:tcPr>
          <w:p w14:paraId="6D292724" w14:textId="5E69B261" w:rsidR="00B226BC" w:rsidRDefault="00FD5944" w:rsidP="00B226BC">
            <w:r>
              <w:lastRenderedPageBreak/>
              <w:t xml:space="preserve">Action: Review mitigating actions if the purchase price were to change for any reason. </w:t>
            </w:r>
          </w:p>
        </w:tc>
      </w:tr>
      <w:tr w:rsidR="00FA39A0" w14:paraId="29380896" w14:textId="77777777" w:rsidTr="00FC79D1">
        <w:tc>
          <w:tcPr>
            <w:tcW w:w="1888" w:type="dxa"/>
          </w:tcPr>
          <w:p w14:paraId="330E7292" w14:textId="77777777" w:rsidR="00FA39A0" w:rsidRDefault="00FA39A0" w:rsidP="00B226BC"/>
        </w:tc>
        <w:tc>
          <w:tcPr>
            <w:tcW w:w="3439" w:type="dxa"/>
          </w:tcPr>
          <w:p w14:paraId="16E83F87" w14:textId="709B4A4F" w:rsidR="00810D5F" w:rsidRDefault="00810D5F" w:rsidP="00810D5F">
            <w:pPr>
              <w:pStyle w:val="PlainText"/>
            </w:pPr>
            <w:r>
              <w:t>1b. Risk that villagers do not feel sufficiently engaged in the purchase of the playing field.</w:t>
            </w:r>
          </w:p>
          <w:p w14:paraId="4C4E0E2D" w14:textId="77777777" w:rsidR="00FA39A0" w:rsidRDefault="00FA39A0" w:rsidP="00B226BC"/>
        </w:tc>
        <w:tc>
          <w:tcPr>
            <w:tcW w:w="1521" w:type="dxa"/>
          </w:tcPr>
          <w:p w14:paraId="6982A498" w14:textId="046425A6" w:rsidR="00FA39A0" w:rsidRDefault="00FD5944" w:rsidP="00B226BC">
            <w:r>
              <w:t>L</w:t>
            </w:r>
          </w:p>
        </w:tc>
        <w:tc>
          <w:tcPr>
            <w:tcW w:w="4346" w:type="dxa"/>
          </w:tcPr>
          <w:p w14:paraId="336A7427" w14:textId="5D4265CE" w:rsidR="00FC79D1" w:rsidRPr="00FD5944" w:rsidRDefault="00FC79D1" w:rsidP="00FC79D1">
            <w:pPr>
              <w:rPr>
                <w:color w:val="000000" w:themeColor="text1"/>
              </w:rPr>
            </w:pPr>
            <w:r w:rsidRPr="00FD5944">
              <w:rPr>
                <w:color w:val="000000" w:themeColor="text1"/>
              </w:rPr>
              <w:t xml:space="preserve">Reviewed and discussed by the Finance Group </w:t>
            </w:r>
            <w:r w:rsidR="00A94853">
              <w:rPr>
                <w:color w:val="000000" w:themeColor="text1"/>
              </w:rPr>
              <w:t>at</w:t>
            </w:r>
            <w:r w:rsidRPr="00FD5944">
              <w:rPr>
                <w:color w:val="000000" w:themeColor="text1"/>
              </w:rPr>
              <w:t xml:space="preserve"> </w:t>
            </w:r>
            <w:r w:rsidR="001C288E">
              <w:rPr>
                <w:color w:val="000000" w:themeColor="text1"/>
              </w:rPr>
              <w:t>1</w:t>
            </w:r>
            <w:r w:rsidRPr="00FD5944">
              <w:rPr>
                <w:color w:val="000000" w:themeColor="text1"/>
              </w:rPr>
              <w:t xml:space="preserve">5/08/20 Finance Group meeting. </w:t>
            </w:r>
          </w:p>
          <w:p w14:paraId="4982A115" w14:textId="77777777" w:rsidR="00FC79D1" w:rsidRDefault="00FC79D1" w:rsidP="00810D5F">
            <w:pPr>
              <w:pStyle w:val="PlainText"/>
            </w:pPr>
          </w:p>
          <w:p w14:paraId="6890E759" w14:textId="14E25279" w:rsidR="00810D5F" w:rsidRDefault="00810D5F" w:rsidP="00810D5F">
            <w:pPr>
              <w:pStyle w:val="PlainText"/>
            </w:pPr>
            <w:r>
              <w:t xml:space="preserve">There is a section on the </w:t>
            </w:r>
            <w:r w:rsidR="008A1A65">
              <w:t>Parish Council</w:t>
            </w:r>
            <w:r>
              <w:t xml:space="preserve"> website to provide details of the project, loan information and list out where in Parish Council minutes playing field discussions have taken place. Updates are and continue to be provided regularly in Village News articles.</w:t>
            </w:r>
          </w:p>
          <w:p w14:paraId="53F149AA" w14:textId="77777777" w:rsidR="00FA39A0" w:rsidRDefault="00FA39A0" w:rsidP="00FA39A0"/>
        </w:tc>
        <w:tc>
          <w:tcPr>
            <w:tcW w:w="2754" w:type="dxa"/>
          </w:tcPr>
          <w:p w14:paraId="6AA3CE8E" w14:textId="17ED1DDD" w:rsidR="00FA39A0" w:rsidRDefault="00907E1D" w:rsidP="00B226BC">
            <w:r>
              <w:t xml:space="preserve">Action: </w:t>
            </w:r>
            <w:r w:rsidR="00810D5F">
              <w:t>Clerk to continue to update the Parish Council website and ensure update</w:t>
            </w:r>
            <w:r w:rsidR="00A94853">
              <w:t>d</w:t>
            </w:r>
            <w:r w:rsidR="00810D5F">
              <w:t xml:space="preserve"> information is placed in each edition of the Village News</w:t>
            </w:r>
            <w:r w:rsidR="008A1A65">
              <w:t>.</w:t>
            </w:r>
          </w:p>
        </w:tc>
      </w:tr>
      <w:tr w:rsidR="00810D5F" w14:paraId="26F7C2DB" w14:textId="77777777" w:rsidTr="00FC79D1">
        <w:tc>
          <w:tcPr>
            <w:tcW w:w="1888" w:type="dxa"/>
          </w:tcPr>
          <w:p w14:paraId="06FAEBC0" w14:textId="77777777" w:rsidR="00810D5F" w:rsidRDefault="00810D5F" w:rsidP="00B226BC"/>
        </w:tc>
        <w:tc>
          <w:tcPr>
            <w:tcW w:w="3439" w:type="dxa"/>
          </w:tcPr>
          <w:p w14:paraId="6332E0EA" w14:textId="76181789" w:rsidR="00810D5F" w:rsidRDefault="00810D5F" w:rsidP="00810D5F">
            <w:pPr>
              <w:pStyle w:val="PlainText"/>
            </w:pPr>
            <w:r>
              <w:t>1c. Risk that the commitment of the P</w:t>
            </w:r>
            <w:r w:rsidR="00410390">
              <w:t>arish Council</w:t>
            </w:r>
            <w:r>
              <w:t xml:space="preserve"> to pay Duchy</w:t>
            </w:r>
            <w:r w:rsidR="00410390">
              <w:t xml:space="preserve"> of Cornwall</w:t>
            </w:r>
            <w:r>
              <w:t xml:space="preserve"> legal fees is not perceived </w:t>
            </w:r>
            <w:r w:rsidR="00410390">
              <w:t>to be a</w:t>
            </w:r>
            <w:r>
              <w:t xml:space="preserve"> good use of public funds</w:t>
            </w:r>
            <w:r w:rsidR="00ED2D74">
              <w:t>, particularly in light of the fact that they are substantially in excess of those prudently negotiated by the Parish Council for their own legal advice</w:t>
            </w:r>
            <w:r w:rsidR="00410390">
              <w:t>.</w:t>
            </w:r>
            <w:r w:rsidR="00ED2D74">
              <w:t xml:space="preserve"> </w:t>
            </w:r>
          </w:p>
        </w:tc>
        <w:tc>
          <w:tcPr>
            <w:tcW w:w="1521" w:type="dxa"/>
          </w:tcPr>
          <w:p w14:paraId="31EB6BBE" w14:textId="4D92B86D" w:rsidR="00810D5F" w:rsidRDefault="00ED2D74" w:rsidP="00B226BC">
            <w:r>
              <w:t>M</w:t>
            </w:r>
          </w:p>
        </w:tc>
        <w:tc>
          <w:tcPr>
            <w:tcW w:w="4346" w:type="dxa"/>
          </w:tcPr>
          <w:p w14:paraId="1F9159F1" w14:textId="14FE8A7D" w:rsidR="00ED2D74" w:rsidRDefault="00ED2D74" w:rsidP="00ED2D74">
            <w:pPr>
              <w:rPr>
                <w:color w:val="000000" w:themeColor="text1"/>
              </w:rPr>
            </w:pPr>
            <w:r w:rsidRPr="00FD5944">
              <w:rPr>
                <w:color w:val="000000" w:themeColor="text1"/>
              </w:rPr>
              <w:t xml:space="preserve">Reviewed and discussed by the Finance Group </w:t>
            </w:r>
            <w:r w:rsidR="00A94853">
              <w:rPr>
                <w:color w:val="000000" w:themeColor="text1"/>
              </w:rPr>
              <w:t>at</w:t>
            </w:r>
            <w:r w:rsidRPr="00FD5944">
              <w:rPr>
                <w:color w:val="000000" w:themeColor="text1"/>
              </w:rPr>
              <w:t xml:space="preserve"> </w:t>
            </w:r>
            <w:r w:rsidR="001C288E">
              <w:rPr>
                <w:color w:val="000000" w:themeColor="text1"/>
              </w:rPr>
              <w:t>1</w:t>
            </w:r>
            <w:r w:rsidRPr="00FD5944">
              <w:rPr>
                <w:color w:val="000000" w:themeColor="text1"/>
              </w:rPr>
              <w:t xml:space="preserve">5/08/20 Finance Group meeting. </w:t>
            </w:r>
          </w:p>
          <w:p w14:paraId="3754F53B" w14:textId="77777777" w:rsidR="00FC79D1" w:rsidRPr="00FD5944" w:rsidRDefault="00FC79D1" w:rsidP="00ED2D74">
            <w:pPr>
              <w:rPr>
                <w:color w:val="000000" w:themeColor="text1"/>
              </w:rPr>
            </w:pPr>
          </w:p>
          <w:p w14:paraId="114968AF" w14:textId="3F8EF203" w:rsidR="00ED2D74" w:rsidRDefault="00ED2D74" w:rsidP="00ED2D74">
            <w:r>
              <w:t xml:space="preserve">As the Parish Council has approached the Duchy to progress this sale, the Duchy have articulated terms required for them to release this land. Following </w:t>
            </w:r>
            <w:r w:rsidR="00A94853">
              <w:t xml:space="preserve">a </w:t>
            </w:r>
            <w:r>
              <w:t>robust</w:t>
            </w:r>
            <w:r w:rsidR="00A94853">
              <w:t xml:space="preserve"> </w:t>
            </w:r>
            <w:proofErr w:type="gramStart"/>
            <w:r>
              <w:t>discussion</w:t>
            </w:r>
            <w:proofErr w:type="gramEnd"/>
            <w:r>
              <w:t xml:space="preserve"> it was unanimously felt by the Finance Group that these terms are non</w:t>
            </w:r>
            <w:r w:rsidR="00A94853">
              <w:t>-</w:t>
            </w:r>
            <w:r>
              <w:t xml:space="preserve">negotiable. </w:t>
            </w:r>
          </w:p>
          <w:p w14:paraId="564970C9" w14:textId="77777777" w:rsidR="00FC79D1" w:rsidRDefault="00FC79D1" w:rsidP="00ED2D74"/>
          <w:p w14:paraId="18FD4B9A" w14:textId="5A78A855" w:rsidR="00ED2D74" w:rsidRDefault="00ED2D74" w:rsidP="00ED2D74">
            <w:r>
              <w:t xml:space="preserve">The Finance Group also discussed the rate of fees expected from the Duchy’s solicitors, again the Finance Group felt that there was no room for negotiation on the provider of legal fees to the Duchy.  </w:t>
            </w:r>
          </w:p>
          <w:p w14:paraId="61DEB27F" w14:textId="77777777" w:rsidR="00FC79D1" w:rsidRDefault="00FC79D1" w:rsidP="00ED2D74"/>
          <w:p w14:paraId="44B2367A" w14:textId="77777777" w:rsidR="00FC79D1" w:rsidRDefault="00ED2D74" w:rsidP="00ED2D74">
            <w:r>
              <w:t xml:space="preserve">The Finance Group agreed that it was not optimal that there was no cap of fees incurred by the Duchy solicitors. It agreed that it was necessary to write to the PC solicitors to gain assurance over this. </w:t>
            </w:r>
          </w:p>
          <w:p w14:paraId="61CE0454" w14:textId="77777777" w:rsidR="00FC79D1" w:rsidRDefault="00FC79D1" w:rsidP="00ED2D74"/>
          <w:p w14:paraId="707C20F5" w14:textId="239051BD" w:rsidR="00ED2D74" w:rsidRDefault="00ED2D74" w:rsidP="00ED2D74">
            <w:r>
              <w:t>Letter dispatched</w:t>
            </w:r>
            <w:r w:rsidR="000D09B1">
              <w:t xml:space="preserve"> 24/08/20</w:t>
            </w:r>
            <w:r>
              <w:t xml:space="preserve"> to seek assurance that – </w:t>
            </w:r>
          </w:p>
          <w:p w14:paraId="2EC53623" w14:textId="69E74191" w:rsidR="00ED2D74" w:rsidRDefault="00ED2D74" w:rsidP="00ED2D74">
            <w:r>
              <w:t>All bills raised by the Duchy solicitors be reviewed by PC solicitors</w:t>
            </w:r>
            <w:r w:rsidR="00A94853">
              <w:t>.</w:t>
            </w:r>
            <w:r>
              <w:t xml:space="preserve"> </w:t>
            </w:r>
          </w:p>
          <w:p w14:paraId="61AE3E3D" w14:textId="20DABA1C" w:rsidR="00ED2D74" w:rsidRDefault="00ED2D74" w:rsidP="00ED2D74">
            <w:r>
              <w:t xml:space="preserve">If costs by the Duchy solicitors exceed £2k plus </w:t>
            </w:r>
            <w:proofErr w:type="gramStart"/>
            <w:r>
              <w:t>VAT</w:t>
            </w:r>
            <w:proofErr w:type="gramEnd"/>
            <w:r>
              <w:t xml:space="preserve"> the PC will be notified and further approvals by the PC will be required.</w:t>
            </w:r>
          </w:p>
          <w:p w14:paraId="7A6547FA" w14:textId="729C80D8" w:rsidR="00ED2D74" w:rsidRDefault="00ED2D74" w:rsidP="00ED2D74">
            <w:r>
              <w:t xml:space="preserve">If fees fall below £2k plus VAT that these funds will be returned to the PC. </w:t>
            </w:r>
          </w:p>
          <w:p w14:paraId="52D4EC12" w14:textId="77777777" w:rsidR="000D09B1" w:rsidRDefault="000D09B1" w:rsidP="00ED2D74"/>
          <w:p w14:paraId="7907DFB8" w14:textId="464EA9CD" w:rsidR="000D09B1" w:rsidRDefault="000D09B1" w:rsidP="00ED2D74">
            <w:r>
              <w:t>Response received confirmed that the controls requested would be executed by Spratt Endicott.</w:t>
            </w:r>
          </w:p>
          <w:p w14:paraId="2F911FBB" w14:textId="10BA1E25" w:rsidR="00ED2D74" w:rsidRDefault="00ED2D74" w:rsidP="00810D5F">
            <w:pPr>
              <w:pStyle w:val="PlainText"/>
            </w:pPr>
          </w:p>
        </w:tc>
        <w:tc>
          <w:tcPr>
            <w:tcW w:w="2754" w:type="dxa"/>
          </w:tcPr>
          <w:p w14:paraId="6D7B1C40" w14:textId="4B0BD8A5" w:rsidR="00810D5F" w:rsidRDefault="00907E1D" w:rsidP="00B226BC">
            <w:r>
              <w:lastRenderedPageBreak/>
              <w:t>Action:</w:t>
            </w:r>
            <w:r w:rsidR="00ED2D74">
              <w:t xml:space="preserve"> </w:t>
            </w:r>
            <w:r w:rsidR="000D09B1">
              <w:t>Finance Group to continue to monitor costs via legal advisers and report to PC where necessary.</w:t>
            </w:r>
            <w:r w:rsidR="00ED2D74">
              <w:t xml:space="preserve"> </w:t>
            </w:r>
          </w:p>
        </w:tc>
      </w:tr>
      <w:tr w:rsidR="00810D5F" w14:paraId="11BAD661" w14:textId="77777777" w:rsidTr="00FC79D1">
        <w:tc>
          <w:tcPr>
            <w:tcW w:w="1888" w:type="dxa"/>
          </w:tcPr>
          <w:p w14:paraId="4E251365" w14:textId="77777777" w:rsidR="00810D5F" w:rsidRDefault="00810D5F" w:rsidP="00B226BC"/>
        </w:tc>
        <w:tc>
          <w:tcPr>
            <w:tcW w:w="3439" w:type="dxa"/>
          </w:tcPr>
          <w:p w14:paraId="47704AB4" w14:textId="3507F87E" w:rsidR="00410390" w:rsidRDefault="00410390" w:rsidP="00410390">
            <w:pPr>
              <w:pStyle w:val="PlainText"/>
            </w:pPr>
            <w:r>
              <w:t>1</w:t>
            </w:r>
            <w:r w:rsidR="00907E1D">
              <w:t>d</w:t>
            </w:r>
            <w:r>
              <w:t xml:space="preserve"> Risk that the Parish Council </w:t>
            </w:r>
            <w:proofErr w:type="gramStart"/>
            <w:r>
              <w:t>doesn’t</w:t>
            </w:r>
            <w:proofErr w:type="gramEnd"/>
            <w:r>
              <w:t xml:space="preserve"> know what legal entity is best placed to own the playing field.</w:t>
            </w:r>
          </w:p>
          <w:p w14:paraId="7F65FAD4" w14:textId="77777777" w:rsidR="00810D5F" w:rsidRDefault="00810D5F" w:rsidP="00810D5F">
            <w:pPr>
              <w:pStyle w:val="PlainText"/>
            </w:pPr>
          </w:p>
        </w:tc>
        <w:tc>
          <w:tcPr>
            <w:tcW w:w="1521" w:type="dxa"/>
          </w:tcPr>
          <w:p w14:paraId="0654A1DD" w14:textId="0F7C93EB" w:rsidR="00810D5F" w:rsidRDefault="00907E1D" w:rsidP="00B226BC">
            <w:r>
              <w:lastRenderedPageBreak/>
              <w:t>L</w:t>
            </w:r>
          </w:p>
        </w:tc>
        <w:tc>
          <w:tcPr>
            <w:tcW w:w="4346" w:type="dxa"/>
          </w:tcPr>
          <w:p w14:paraId="6E13D8FA" w14:textId="01339D67" w:rsidR="00907E1D" w:rsidRDefault="00907E1D" w:rsidP="00907E1D">
            <w:pPr>
              <w:rPr>
                <w:color w:val="000000" w:themeColor="text1"/>
              </w:rPr>
            </w:pPr>
            <w:r w:rsidRPr="00FD5944">
              <w:rPr>
                <w:color w:val="000000" w:themeColor="text1"/>
              </w:rPr>
              <w:t xml:space="preserve">Reviewed and discussed by the Finance Group </w:t>
            </w:r>
            <w:r w:rsidR="00A94853">
              <w:rPr>
                <w:color w:val="000000" w:themeColor="text1"/>
              </w:rPr>
              <w:t>at</w:t>
            </w:r>
            <w:r w:rsidRPr="00FD5944">
              <w:rPr>
                <w:color w:val="000000" w:themeColor="text1"/>
              </w:rPr>
              <w:t xml:space="preserve"> </w:t>
            </w:r>
            <w:r w:rsidR="001C288E">
              <w:rPr>
                <w:color w:val="000000" w:themeColor="text1"/>
              </w:rPr>
              <w:t>1</w:t>
            </w:r>
            <w:r w:rsidRPr="00FD5944">
              <w:rPr>
                <w:color w:val="000000" w:themeColor="text1"/>
              </w:rPr>
              <w:t xml:space="preserve">5/08/20 Finance Group meeting. </w:t>
            </w:r>
          </w:p>
          <w:p w14:paraId="1E8430FE" w14:textId="77777777" w:rsidR="00FC79D1" w:rsidRPr="00FD5944" w:rsidRDefault="00FC79D1" w:rsidP="00907E1D">
            <w:pPr>
              <w:rPr>
                <w:color w:val="000000" w:themeColor="text1"/>
              </w:rPr>
            </w:pPr>
          </w:p>
          <w:p w14:paraId="110EBF17" w14:textId="77777777" w:rsidR="000D09B1" w:rsidRPr="00EF5A96" w:rsidRDefault="00907E1D" w:rsidP="00810D5F">
            <w:pPr>
              <w:pStyle w:val="PlainText"/>
              <w:rPr>
                <w:color w:val="000000" w:themeColor="text1"/>
              </w:rPr>
            </w:pPr>
            <w:r w:rsidRPr="00907E1D">
              <w:rPr>
                <w:color w:val="000000" w:themeColor="text1"/>
              </w:rPr>
              <w:lastRenderedPageBreak/>
              <w:t xml:space="preserve">The </w:t>
            </w:r>
            <w:r w:rsidR="00410390" w:rsidRPr="00907E1D">
              <w:rPr>
                <w:color w:val="000000" w:themeColor="text1"/>
              </w:rPr>
              <w:t xml:space="preserve">Finance </w:t>
            </w:r>
            <w:r w:rsidRPr="00907E1D">
              <w:rPr>
                <w:color w:val="000000" w:themeColor="text1"/>
              </w:rPr>
              <w:t>G</w:t>
            </w:r>
            <w:r w:rsidR="00410390" w:rsidRPr="00907E1D">
              <w:rPr>
                <w:color w:val="000000" w:themeColor="text1"/>
              </w:rPr>
              <w:t xml:space="preserve">roup </w:t>
            </w:r>
            <w:r w:rsidRPr="00907E1D">
              <w:rPr>
                <w:color w:val="000000" w:themeColor="text1"/>
              </w:rPr>
              <w:t xml:space="preserve">discussed this issue and decided to request some advice on the </w:t>
            </w:r>
            <w:r w:rsidRPr="00EF5A96">
              <w:rPr>
                <w:color w:val="000000" w:themeColor="text1"/>
              </w:rPr>
              <w:t xml:space="preserve">matter. </w:t>
            </w:r>
          </w:p>
          <w:p w14:paraId="533B14F1" w14:textId="106CE712" w:rsidR="00810D5F" w:rsidRDefault="000D09B1" w:rsidP="00810D5F">
            <w:pPr>
              <w:pStyle w:val="PlainText"/>
              <w:rPr>
                <w:rFonts w:cs="Calibri"/>
                <w:szCs w:val="22"/>
              </w:rPr>
            </w:pPr>
            <w:r w:rsidRPr="00EF5A96">
              <w:rPr>
                <w:color w:val="000000" w:themeColor="text1"/>
              </w:rPr>
              <w:t xml:space="preserve">Advice received from OALC which highlighted it is common for Parish Council’s to own land </w:t>
            </w:r>
            <w:r w:rsidRPr="00EF5A96">
              <w:rPr>
                <w:szCs w:val="22"/>
              </w:rPr>
              <w:t>but would need to discuss with solicitor the</w:t>
            </w:r>
            <w:r w:rsidR="005F6B05" w:rsidRPr="00EF5A96">
              <w:rPr>
                <w:rFonts w:cs="Calibri"/>
                <w:szCs w:val="22"/>
              </w:rPr>
              <w:t xml:space="preserve"> best mechanism for protecting the land.</w:t>
            </w:r>
          </w:p>
          <w:p w14:paraId="3CE944E0" w14:textId="6539DEAF" w:rsidR="0029024D" w:rsidRPr="004971BD" w:rsidRDefault="0029024D" w:rsidP="00810D5F">
            <w:pPr>
              <w:pStyle w:val="PlainText"/>
              <w:rPr>
                <w:color w:val="000000" w:themeColor="text1"/>
                <w:szCs w:val="22"/>
              </w:rPr>
            </w:pPr>
            <w:r w:rsidRPr="004971BD">
              <w:rPr>
                <w:rFonts w:eastAsia="Times New Roman"/>
                <w:color w:val="000000"/>
                <w:szCs w:val="22"/>
              </w:rPr>
              <w:t>The finance group has discussed appropriate ownership of the playing field and spinney. At the present time it proposes that when the lawyers draw up the deeds the Parish Council will be listed as owner. This risk will remain on the PC risk register for review in future years to ensure the land continues to be best protected for the future.  </w:t>
            </w:r>
          </w:p>
          <w:p w14:paraId="77D23EB9" w14:textId="70A3B3F1" w:rsidR="000D09B1" w:rsidRPr="00410390" w:rsidRDefault="000D09B1" w:rsidP="00810D5F">
            <w:pPr>
              <w:pStyle w:val="PlainText"/>
              <w:rPr>
                <w:color w:val="FF0000"/>
              </w:rPr>
            </w:pPr>
          </w:p>
        </w:tc>
        <w:tc>
          <w:tcPr>
            <w:tcW w:w="2754" w:type="dxa"/>
          </w:tcPr>
          <w:p w14:paraId="57BD3C30" w14:textId="148F9BA4" w:rsidR="00810D5F" w:rsidRDefault="00907E1D" w:rsidP="00B226BC">
            <w:r>
              <w:lastRenderedPageBreak/>
              <w:t xml:space="preserve">Action: Review next steps following receipt of legal advice. </w:t>
            </w:r>
          </w:p>
        </w:tc>
      </w:tr>
      <w:tr w:rsidR="00410390" w14:paraId="50C697A8" w14:textId="77777777" w:rsidTr="00FC79D1">
        <w:tc>
          <w:tcPr>
            <w:tcW w:w="1888" w:type="dxa"/>
          </w:tcPr>
          <w:p w14:paraId="570AB7BD" w14:textId="77777777" w:rsidR="00410390" w:rsidRDefault="00410390" w:rsidP="00B226BC"/>
        </w:tc>
        <w:tc>
          <w:tcPr>
            <w:tcW w:w="3439" w:type="dxa"/>
          </w:tcPr>
          <w:p w14:paraId="4F699843" w14:textId="3562E6C4" w:rsidR="00410390" w:rsidRDefault="00410390" w:rsidP="00410390">
            <w:pPr>
              <w:pStyle w:val="PlainText"/>
            </w:pPr>
            <w:r>
              <w:t>1</w:t>
            </w:r>
            <w:r w:rsidR="006439F2">
              <w:t>e</w:t>
            </w:r>
            <w:r>
              <w:t>. Risk that the Parish Council is not best placed to act as a custodian of the playing field asset to protect it for future generations of village residents.</w:t>
            </w:r>
          </w:p>
          <w:p w14:paraId="5137C0F9" w14:textId="77777777" w:rsidR="00410390" w:rsidRDefault="00410390" w:rsidP="00410390">
            <w:pPr>
              <w:pStyle w:val="PlainText"/>
            </w:pPr>
          </w:p>
        </w:tc>
        <w:tc>
          <w:tcPr>
            <w:tcW w:w="1521" w:type="dxa"/>
          </w:tcPr>
          <w:p w14:paraId="62F2FF33" w14:textId="6A7CFFFC" w:rsidR="00410390" w:rsidRDefault="002E753E" w:rsidP="00B226BC">
            <w:r>
              <w:t>L</w:t>
            </w:r>
          </w:p>
        </w:tc>
        <w:tc>
          <w:tcPr>
            <w:tcW w:w="4346" w:type="dxa"/>
          </w:tcPr>
          <w:p w14:paraId="6AE2EA93" w14:textId="51C017E8" w:rsidR="004E06DC" w:rsidRDefault="004E06DC" w:rsidP="004E06DC">
            <w:pPr>
              <w:rPr>
                <w:color w:val="000000" w:themeColor="text1"/>
              </w:rPr>
            </w:pPr>
            <w:r w:rsidRPr="00FD5944">
              <w:rPr>
                <w:color w:val="000000" w:themeColor="text1"/>
              </w:rPr>
              <w:t xml:space="preserve">Reviewed and discussed by the Finance Group </w:t>
            </w:r>
            <w:r w:rsidR="00A94853">
              <w:rPr>
                <w:color w:val="000000" w:themeColor="text1"/>
              </w:rPr>
              <w:t>at</w:t>
            </w:r>
            <w:r w:rsidRPr="00FD5944">
              <w:rPr>
                <w:color w:val="000000" w:themeColor="text1"/>
              </w:rPr>
              <w:t xml:space="preserve"> </w:t>
            </w:r>
            <w:r w:rsidR="001C288E">
              <w:rPr>
                <w:color w:val="000000" w:themeColor="text1"/>
              </w:rPr>
              <w:t>1</w:t>
            </w:r>
            <w:r w:rsidRPr="00FD5944">
              <w:rPr>
                <w:color w:val="000000" w:themeColor="text1"/>
              </w:rPr>
              <w:t xml:space="preserve">5/08/20 Finance Group meeting. </w:t>
            </w:r>
          </w:p>
          <w:p w14:paraId="66BCD0C5" w14:textId="77777777" w:rsidR="00FC79D1" w:rsidRPr="00FD5944" w:rsidRDefault="00FC79D1" w:rsidP="004E06DC">
            <w:pPr>
              <w:rPr>
                <w:color w:val="000000" w:themeColor="text1"/>
              </w:rPr>
            </w:pPr>
          </w:p>
          <w:p w14:paraId="1F353334" w14:textId="2C176ACF" w:rsidR="00410390" w:rsidRPr="00410390" w:rsidRDefault="004E06DC" w:rsidP="00810D5F">
            <w:pPr>
              <w:pStyle w:val="PlainText"/>
              <w:rPr>
                <w:color w:val="FF0000"/>
              </w:rPr>
            </w:pPr>
            <w:r w:rsidRPr="002E753E">
              <w:rPr>
                <w:color w:val="000000" w:themeColor="text1"/>
              </w:rPr>
              <w:t xml:space="preserve">The Finance Group acknowledged that in many cases villages have set up </w:t>
            </w:r>
            <w:r w:rsidR="00410390" w:rsidRPr="002E753E">
              <w:rPr>
                <w:color w:val="000000" w:themeColor="text1"/>
              </w:rPr>
              <w:t>a separate group</w:t>
            </w:r>
            <w:r w:rsidRPr="002E753E">
              <w:rPr>
                <w:color w:val="000000" w:themeColor="text1"/>
              </w:rPr>
              <w:t xml:space="preserve"> to manage</w:t>
            </w:r>
            <w:r w:rsidR="00410390" w:rsidRPr="002E753E">
              <w:rPr>
                <w:color w:val="000000" w:themeColor="text1"/>
              </w:rPr>
              <w:t xml:space="preserve"> </w:t>
            </w:r>
            <w:r w:rsidRPr="002E753E">
              <w:rPr>
                <w:color w:val="000000" w:themeColor="text1"/>
              </w:rPr>
              <w:t xml:space="preserve">assets such as a </w:t>
            </w:r>
            <w:r w:rsidR="00410390" w:rsidRPr="002E753E">
              <w:rPr>
                <w:color w:val="000000" w:themeColor="text1"/>
              </w:rPr>
              <w:t>playing field</w:t>
            </w:r>
            <w:r w:rsidRPr="002E753E">
              <w:rPr>
                <w:color w:val="000000" w:themeColor="text1"/>
              </w:rPr>
              <w:t xml:space="preserve">. Following </w:t>
            </w:r>
            <w:proofErr w:type="gramStart"/>
            <w:r w:rsidRPr="002E753E">
              <w:rPr>
                <w:color w:val="000000" w:themeColor="text1"/>
              </w:rPr>
              <w:t>discussion</w:t>
            </w:r>
            <w:proofErr w:type="gramEnd"/>
            <w:r w:rsidRPr="002E753E">
              <w:rPr>
                <w:color w:val="000000" w:themeColor="text1"/>
              </w:rPr>
              <w:t xml:space="preserve"> </w:t>
            </w:r>
            <w:r w:rsidR="002E753E" w:rsidRPr="002E753E">
              <w:rPr>
                <w:color w:val="000000" w:themeColor="text1"/>
              </w:rPr>
              <w:t>the Finance Group</w:t>
            </w:r>
            <w:r w:rsidRPr="002E753E">
              <w:rPr>
                <w:color w:val="000000" w:themeColor="text1"/>
              </w:rPr>
              <w:t xml:space="preserve"> was satisfied that the PC was able to pull in advice from the relevant bodies e.g. Woodland Trust, Oxfordshire Playing Fields Trust to enable effective management of the asset at the current time. </w:t>
            </w:r>
          </w:p>
        </w:tc>
        <w:tc>
          <w:tcPr>
            <w:tcW w:w="2754" w:type="dxa"/>
          </w:tcPr>
          <w:p w14:paraId="56FA060A" w14:textId="7CCE25CD" w:rsidR="00410390" w:rsidRDefault="004E06DC" w:rsidP="00B226BC">
            <w:r>
              <w:t xml:space="preserve">Action: Review as part of the annual risk review of the council, or in the context of legal advice relating to risk 1d, whichever is soonest. </w:t>
            </w:r>
          </w:p>
        </w:tc>
      </w:tr>
    </w:tbl>
    <w:p w14:paraId="659C258A" w14:textId="3259161F" w:rsidR="00F306FD" w:rsidRPr="00A71F9A" w:rsidRDefault="00F306FD" w:rsidP="00B226BC"/>
    <w:p w14:paraId="1EB267D3" w14:textId="7820DE5A" w:rsidR="00F306FD" w:rsidRPr="00810D5F" w:rsidRDefault="0029024D" w:rsidP="00B226BC">
      <w:pPr>
        <w:pStyle w:val="ListParagraph"/>
        <w:numPr>
          <w:ilvl w:val="0"/>
          <w:numId w:val="1"/>
        </w:numPr>
        <w:rPr>
          <w:b/>
          <w:bCs/>
        </w:rPr>
      </w:pPr>
      <w:r>
        <w:rPr>
          <w:b/>
          <w:bCs/>
        </w:rPr>
        <w:br w:type="column"/>
      </w:r>
      <w:r w:rsidR="00810D5F" w:rsidRPr="00810D5F">
        <w:rPr>
          <w:b/>
          <w:bCs/>
        </w:rPr>
        <w:lastRenderedPageBreak/>
        <w:t>Risks associated with the management of the playing field</w:t>
      </w:r>
      <w:r w:rsidR="00410390">
        <w:rPr>
          <w:b/>
          <w:bCs/>
        </w:rPr>
        <w:t xml:space="preserve"> and spinney</w:t>
      </w:r>
    </w:p>
    <w:tbl>
      <w:tblPr>
        <w:tblStyle w:val="TableGrid"/>
        <w:tblW w:w="0" w:type="auto"/>
        <w:tblLook w:val="04A0" w:firstRow="1" w:lastRow="0" w:firstColumn="1" w:lastColumn="0" w:noHBand="0" w:noVBand="1"/>
      </w:tblPr>
      <w:tblGrid>
        <w:gridCol w:w="1838"/>
        <w:gridCol w:w="3544"/>
        <w:gridCol w:w="1417"/>
        <w:gridCol w:w="4359"/>
        <w:gridCol w:w="2790"/>
      </w:tblGrid>
      <w:tr w:rsidR="00A71F9A" w:rsidRPr="00A71F9A" w14:paraId="2F2C86B8" w14:textId="77777777" w:rsidTr="00864ED6">
        <w:tc>
          <w:tcPr>
            <w:tcW w:w="1838" w:type="dxa"/>
          </w:tcPr>
          <w:p w14:paraId="7C60716F" w14:textId="203A69F8" w:rsidR="00F306FD" w:rsidRPr="00A71F9A" w:rsidRDefault="00F306FD" w:rsidP="00F306FD">
            <w:pPr>
              <w:rPr>
                <w:b/>
              </w:rPr>
            </w:pPr>
            <w:r w:rsidRPr="00A71F9A">
              <w:rPr>
                <w:b/>
              </w:rPr>
              <w:t>Category</w:t>
            </w:r>
          </w:p>
        </w:tc>
        <w:tc>
          <w:tcPr>
            <w:tcW w:w="3544" w:type="dxa"/>
          </w:tcPr>
          <w:p w14:paraId="1AECA3EA" w14:textId="03D52C49" w:rsidR="00F306FD" w:rsidRPr="00A71F9A" w:rsidRDefault="00F306FD" w:rsidP="00F306FD">
            <w:pPr>
              <w:rPr>
                <w:b/>
              </w:rPr>
            </w:pPr>
            <w:r w:rsidRPr="00A71F9A">
              <w:rPr>
                <w:b/>
              </w:rPr>
              <w:t>Risk (s) identified</w:t>
            </w:r>
          </w:p>
        </w:tc>
        <w:tc>
          <w:tcPr>
            <w:tcW w:w="1417" w:type="dxa"/>
          </w:tcPr>
          <w:p w14:paraId="035913C4" w14:textId="74F0175B" w:rsidR="00F306FD" w:rsidRPr="00A71F9A" w:rsidRDefault="00F306FD" w:rsidP="00F306FD">
            <w:pPr>
              <w:rPr>
                <w:b/>
              </w:rPr>
            </w:pPr>
            <w:r w:rsidRPr="00A71F9A">
              <w:rPr>
                <w:b/>
              </w:rPr>
              <w:t>HML Rating</w:t>
            </w:r>
          </w:p>
        </w:tc>
        <w:tc>
          <w:tcPr>
            <w:tcW w:w="4359" w:type="dxa"/>
          </w:tcPr>
          <w:p w14:paraId="0B57EBD2" w14:textId="5EE709F0" w:rsidR="00F306FD" w:rsidRPr="00A71F9A" w:rsidRDefault="00F306FD" w:rsidP="00F306FD">
            <w:pPr>
              <w:rPr>
                <w:b/>
              </w:rPr>
            </w:pPr>
            <w:r w:rsidRPr="00A71F9A">
              <w:rPr>
                <w:b/>
              </w:rPr>
              <w:t>Management / Control of Risk</w:t>
            </w:r>
          </w:p>
        </w:tc>
        <w:tc>
          <w:tcPr>
            <w:tcW w:w="2790" w:type="dxa"/>
          </w:tcPr>
          <w:p w14:paraId="46FE91CF" w14:textId="3AE4FC07" w:rsidR="00F306FD" w:rsidRPr="00A71F9A" w:rsidRDefault="00F306FD" w:rsidP="00F306FD">
            <w:pPr>
              <w:rPr>
                <w:b/>
              </w:rPr>
            </w:pPr>
            <w:r w:rsidRPr="00A71F9A">
              <w:rPr>
                <w:b/>
              </w:rPr>
              <w:t>Review /Assess / R</w:t>
            </w:r>
            <w:r w:rsidR="00CD36FE" w:rsidRPr="00A71F9A">
              <w:rPr>
                <w:b/>
              </w:rPr>
              <w:t>e</w:t>
            </w:r>
            <w:r w:rsidRPr="00A71F9A">
              <w:rPr>
                <w:b/>
              </w:rPr>
              <w:t>vise</w:t>
            </w:r>
          </w:p>
        </w:tc>
      </w:tr>
      <w:tr w:rsidR="00A71F9A" w:rsidRPr="00A71F9A" w14:paraId="0F658A42" w14:textId="77777777" w:rsidTr="00864ED6">
        <w:tc>
          <w:tcPr>
            <w:tcW w:w="1838" w:type="dxa"/>
          </w:tcPr>
          <w:p w14:paraId="5A39167C" w14:textId="3D9E1D6C" w:rsidR="00F306FD" w:rsidRPr="00A71F9A" w:rsidRDefault="00C14DBA" w:rsidP="00FA39A0">
            <w:r>
              <w:t>Management</w:t>
            </w:r>
          </w:p>
        </w:tc>
        <w:tc>
          <w:tcPr>
            <w:tcW w:w="3544" w:type="dxa"/>
          </w:tcPr>
          <w:p w14:paraId="727EF028" w14:textId="4310A3FE" w:rsidR="00410390" w:rsidRDefault="00410390" w:rsidP="00410390">
            <w:pPr>
              <w:pStyle w:val="PlainText"/>
            </w:pPr>
            <w:r>
              <w:t>2a</w:t>
            </w:r>
            <w:r w:rsidR="00C14DBA">
              <w:t>.</w:t>
            </w:r>
            <w:r>
              <w:t xml:space="preserve"> Risk that the Parish Council’s insurance premium increases </w:t>
            </w:r>
            <w:proofErr w:type="gramStart"/>
            <w:r>
              <w:t>as a result of</w:t>
            </w:r>
            <w:proofErr w:type="gramEnd"/>
            <w:r>
              <w:t xml:space="preserve"> the ownership of the playing field and spinney.</w:t>
            </w:r>
          </w:p>
          <w:p w14:paraId="5B20847D" w14:textId="0938DE63" w:rsidR="00F306FD" w:rsidRPr="00A71F9A" w:rsidRDefault="00F306FD" w:rsidP="00F306FD"/>
        </w:tc>
        <w:tc>
          <w:tcPr>
            <w:tcW w:w="1417" w:type="dxa"/>
          </w:tcPr>
          <w:p w14:paraId="09878967" w14:textId="6EB7E835" w:rsidR="00F306FD" w:rsidRPr="00A71F9A" w:rsidRDefault="00E84A73" w:rsidP="00F306FD">
            <w:r>
              <w:t>L</w:t>
            </w:r>
          </w:p>
        </w:tc>
        <w:tc>
          <w:tcPr>
            <w:tcW w:w="4359" w:type="dxa"/>
          </w:tcPr>
          <w:p w14:paraId="0F53D46A" w14:textId="36B75ACC" w:rsidR="00E84A73" w:rsidRPr="00EF5A96" w:rsidRDefault="00E84A73" w:rsidP="00E84A73">
            <w:pPr>
              <w:rPr>
                <w:color w:val="000000" w:themeColor="text1"/>
              </w:rPr>
            </w:pPr>
            <w:r w:rsidRPr="00EF5A96">
              <w:rPr>
                <w:color w:val="000000" w:themeColor="text1"/>
              </w:rPr>
              <w:t xml:space="preserve">Reviewed and discussed by the Finance Group </w:t>
            </w:r>
            <w:r w:rsidR="00A94853" w:rsidRPr="00EF5A96">
              <w:rPr>
                <w:color w:val="000000" w:themeColor="text1"/>
              </w:rPr>
              <w:t>at</w:t>
            </w:r>
            <w:r w:rsidRPr="00EF5A96">
              <w:rPr>
                <w:color w:val="000000" w:themeColor="text1"/>
              </w:rPr>
              <w:t xml:space="preserve"> </w:t>
            </w:r>
            <w:r w:rsidR="001C288E" w:rsidRPr="00EF5A96">
              <w:rPr>
                <w:color w:val="000000" w:themeColor="text1"/>
              </w:rPr>
              <w:t>1</w:t>
            </w:r>
            <w:r w:rsidRPr="00EF5A96">
              <w:rPr>
                <w:color w:val="000000" w:themeColor="text1"/>
              </w:rPr>
              <w:t xml:space="preserve">5/08/20 Finance Group meeting. </w:t>
            </w:r>
          </w:p>
          <w:p w14:paraId="75B3D734" w14:textId="77777777" w:rsidR="00E84A73" w:rsidRPr="00EF5A96" w:rsidRDefault="00E84A73" w:rsidP="00864ED6"/>
          <w:p w14:paraId="1DBCB442" w14:textId="605DC6D9" w:rsidR="00B07D3D" w:rsidRDefault="00410390" w:rsidP="00864ED6">
            <w:r w:rsidRPr="00EF5A96">
              <w:t>Clerk investigate</w:t>
            </w:r>
            <w:r w:rsidR="005F6B05" w:rsidRPr="00EF5A96">
              <w:t>d</w:t>
            </w:r>
            <w:r w:rsidRPr="00EF5A96">
              <w:t xml:space="preserve"> with </w:t>
            </w:r>
            <w:r w:rsidR="005F6B05" w:rsidRPr="00EF5A96">
              <w:t xml:space="preserve">the </w:t>
            </w:r>
            <w:r w:rsidRPr="00EF5A96">
              <w:t>Parish Council’s current insurer</w:t>
            </w:r>
            <w:r w:rsidR="005F6B05" w:rsidRPr="00EF5A96">
              <w:t xml:space="preserve"> who replied:</w:t>
            </w:r>
            <w:r w:rsidRPr="00EF5A96">
              <w:t xml:space="preserve"> </w:t>
            </w:r>
            <w:r w:rsidR="005F6B05" w:rsidRPr="00EF5A96">
              <w:t>“</w:t>
            </w:r>
            <w:r w:rsidR="005F6B05" w:rsidRPr="00EF5A96">
              <w:rPr>
                <w:lang w:val="en-US"/>
              </w:rPr>
              <w:t xml:space="preserve">The Public Liability section of the policy automatically covers the Parish Council’s responsibilities towards any land or assets up to £10m. </w:t>
            </w:r>
            <w:r w:rsidR="005F6B05" w:rsidRPr="00EF5A96">
              <w:t xml:space="preserve">There is currently no cover provided for any loss and damage to the piece of land, notably the surface itself and in most instances, loss and damage cover for land itself is NOT taken by our policyholders as the risk is reduced, with vandalism the only real peril of note.” </w:t>
            </w:r>
          </w:p>
          <w:p w14:paraId="08A25A29" w14:textId="77777777" w:rsidR="00EF5A96" w:rsidRPr="00EF5A96" w:rsidRDefault="00EF5A96" w:rsidP="00864ED6"/>
          <w:p w14:paraId="2FAEEDAA" w14:textId="5A288AB2" w:rsidR="00F306FD" w:rsidRPr="00EF5A96" w:rsidRDefault="005F6B05" w:rsidP="00864ED6">
            <w:pPr>
              <w:rPr>
                <w:lang w:val="en-US"/>
              </w:rPr>
            </w:pPr>
            <w:r w:rsidRPr="00EF5A96">
              <w:t xml:space="preserve">The clerk is confirming whether in fact we already have protection under </w:t>
            </w:r>
            <w:r w:rsidR="00EF5A96">
              <w:t>‘n</w:t>
            </w:r>
            <w:r w:rsidRPr="00EF5A96">
              <w:t xml:space="preserve">atural </w:t>
            </w:r>
            <w:r w:rsidR="00EF5A96">
              <w:t>s</w:t>
            </w:r>
            <w:r w:rsidRPr="00EF5A96">
              <w:t>urfaces</w:t>
            </w:r>
            <w:r w:rsidR="00EF5A96">
              <w:t>’</w:t>
            </w:r>
            <w:r w:rsidRPr="00EF5A96">
              <w:t xml:space="preserve"> and will advise when further information received.</w:t>
            </w:r>
            <w:r w:rsidRPr="00EF5A96">
              <w:rPr>
                <w:lang w:val="en-US"/>
              </w:rPr>
              <w:t xml:space="preserve"> </w:t>
            </w:r>
          </w:p>
        </w:tc>
        <w:tc>
          <w:tcPr>
            <w:tcW w:w="2790" w:type="dxa"/>
          </w:tcPr>
          <w:p w14:paraId="64E063E7" w14:textId="2717AC05" w:rsidR="00F306FD" w:rsidRPr="00A71F9A" w:rsidRDefault="00E84A73" w:rsidP="00F306FD">
            <w:r>
              <w:t xml:space="preserve">Action: Review following receipt of advice. </w:t>
            </w:r>
          </w:p>
        </w:tc>
      </w:tr>
      <w:tr w:rsidR="00E84A73" w:rsidRPr="00A71F9A" w14:paraId="1CC05E9A" w14:textId="77777777" w:rsidTr="00864ED6">
        <w:tc>
          <w:tcPr>
            <w:tcW w:w="1838" w:type="dxa"/>
          </w:tcPr>
          <w:p w14:paraId="3C3ABE19" w14:textId="77777777" w:rsidR="00E84A73" w:rsidRPr="00A71F9A" w:rsidRDefault="00E84A73" w:rsidP="00E84A73"/>
        </w:tc>
        <w:tc>
          <w:tcPr>
            <w:tcW w:w="3544" w:type="dxa"/>
          </w:tcPr>
          <w:p w14:paraId="1E465174" w14:textId="5CB1CF4E" w:rsidR="00E84A73" w:rsidRDefault="00E84A73" w:rsidP="00E84A73">
            <w:pPr>
              <w:pStyle w:val="PlainText"/>
            </w:pPr>
            <w:r>
              <w:t>2b. Risk that neighbours of the playing field become frustrated by the potential increased use of the field.</w:t>
            </w:r>
          </w:p>
          <w:p w14:paraId="349B9A80" w14:textId="77777777" w:rsidR="00E84A73" w:rsidRPr="00A71F9A" w:rsidRDefault="00E84A73" w:rsidP="00E84A73"/>
        </w:tc>
        <w:tc>
          <w:tcPr>
            <w:tcW w:w="1417" w:type="dxa"/>
          </w:tcPr>
          <w:p w14:paraId="5082FD09" w14:textId="792845CA" w:rsidR="00E84A73" w:rsidRPr="00A71F9A" w:rsidRDefault="00E84A73" w:rsidP="00E84A73">
            <w:r>
              <w:t>M</w:t>
            </w:r>
          </w:p>
        </w:tc>
        <w:tc>
          <w:tcPr>
            <w:tcW w:w="4359" w:type="dxa"/>
          </w:tcPr>
          <w:p w14:paraId="0E4A9265" w14:textId="6529C5FB" w:rsidR="00E84A73" w:rsidRDefault="00E84A73" w:rsidP="00E84A73">
            <w:pPr>
              <w:rPr>
                <w:color w:val="000000" w:themeColor="text1"/>
              </w:rPr>
            </w:pPr>
            <w:r w:rsidRPr="00FD5944">
              <w:rPr>
                <w:color w:val="000000" w:themeColor="text1"/>
              </w:rPr>
              <w:t xml:space="preserve">Reviewed and discussed by the Finance Group </w:t>
            </w:r>
            <w:r w:rsidR="00A94853">
              <w:rPr>
                <w:color w:val="000000" w:themeColor="text1"/>
              </w:rPr>
              <w:t>at</w:t>
            </w:r>
            <w:r w:rsidRPr="00FD5944">
              <w:rPr>
                <w:color w:val="000000" w:themeColor="text1"/>
              </w:rPr>
              <w:t xml:space="preserve"> </w:t>
            </w:r>
            <w:r w:rsidR="001C288E">
              <w:rPr>
                <w:color w:val="000000" w:themeColor="text1"/>
              </w:rPr>
              <w:t>1</w:t>
            </w:r>
            <w:r w:rsidRPr="00FD5944">
              <w:rPr>
                <w:color w:val="000000" w:themeColor="text1"/>
              </w:rPr>
              <w:t xml:space="preserve">5/08/20 Finance Group meeting. </w:t>
            </w:r>
          </w:p>
          <w:p w14:paraId="7FBBFBB3" w14:textId="77777777" w:rsidR="00E84A73" w:rsidRPr="00E84A73" w:rsidRDefault="00E84A73" w:rsidP="00E84A73">
            <w:pPr>
              <w:rPr>
                <w:color w:val="000000" w:themeColor="text1"/>
              </w:rPr>
            </w:pPr>
          </w:p>
          <w:p w14:paraId="4C32289F" w14:textId="342F1BCF" w:rsidR="00E84A73" w:rsidRPr="00A71F9A" w:rsidRDefault="00E84A73" w:rsidP="00E84A73">
            <w:r>
              <w:t xml:space="preserve">Village News articles have communicated increasing use of the playing field, these should continue. Contact details should be clearly posted at the playing field and on the Parish Council website so that people know who to contact if they have an issue. </w:t>
            </w:r>
          </w:p>
        </w:tc>
        <w:tc>
          <w:tcPr>
            <w:tcW w:w="2790" w:type="dxa"/>
          </w:tcPr>
          <w:p w14:paraId="3B4D3A3F" w14:textId="47026401" w:rsidR="00E84A73" w:rsidRPr="00A71F9A" w:rsidRDefault="00E84A73" w:rsidP="00E84A73">
            <w:r>
              <w:t>Action: Clerk to continue to update the Parish Council website and ensure update</w:t>
            </w:r>
            <w:r w:rsidR="00A94853">
              <w:t>d</w:t>
            </w:r>
            <w:r>
              <w:t xml:space="preserve"> information is placed in each edition of the Village News.</w:t>
            </w:r>
          </w:p>
        </w:tc>
      </w:tr>
      <w:tr w:rsidR="00E84A73" w:rsidRPr="00A71F9A" w14:paraId="6184D007" w14:textId="77777777" w:rsidTr="00864ED6">
        <w:tc>
          <w:tcPr>
            <w:tcW w:w="1838" w:type="dxa"/>
          </w:tcPr>
          <w:p w14:paraId="1836BBE2" w14:textId="77777777" w:rsidR="00E84A73" w:rsidRPr="00A71F9A" w:rsidRDefault="00E84A73" w:rsidP="00E84A73"/>
        </w:tc>
        <w:tc>
          <w:tcPr>
            <w:tcW w:w="3544" w:type="dxa"/>
          </w:tcPr>
          <w:p w14:paraId="40FCAA30" w14:textId="613E2CBC" w:rsidR="00E84A73" w:rsidRDefault="00E84A73" w:rsidP="00E84A73">
            <w:pPr>
              <w:pStyle w:val="PlainText"/>
            </w:pPr>
            <w:r>
              <w:t>2c. Risk that future management costs of the spinney are not known.</w:t>
            </w:r>
          </w:p>
          <w:p w14:paraId="06D28B72" w14:textId="77777777" w:rsidR="00E84A73" w:rsidRDefault="00E84A73" w:rsidP="00E84A73">
            <w:pPr>
              <w:pStyle w:val="PlainText"/>
            </w:pPr>
          </w:p>
        </w:tc>
        <w:tc>
          <w:tcPr>
            <w:tcW w:w="1417" w:type="dxa"/>
          </w:tcPr>
          <w:p w14:paraId="563C4CAF" w14:textId="3702FA58" w:rsidR="00E84A73" w:rsidRDefault="00E84A73" w:rsidP="00E84A73">
            <w:r>
              <w:t>M</w:t>
            </w:r>
          </w:p>
        </w:tc>
        <w:tc>
          <w:tcPr>
            <w:tcW w:w="4359" w:type="dxa"/>
          </w:tcPr>
          <w:p w14:paraId="4D1B87A1" w14:textId="3E2927B9" w:rsidR="00E84A73" w:rsidRPr="00FC79D1" w:rsidRDefault="00E84A73" w:rsidP="00E84A73">
            <w:pPr>
              <w:rPr>
                <w:color w:val="000000" w:themeColor="text1"/>
              </w:rPr>
            </w:pPr>
            <w:r w:rsidRPr="00FC79D1">
              <w:rPr>
                <w:color w:val="000000" w:themeColor="text1"/>
              </w:rPr>
              <w:t xml:space="preserve">Reviewed and discussed by the Finance Group </w:t>
            </w:r>
            <w:r w:rsidR="00A94853">
              <w:rPr>
                <w:color w:val="000000" w:themeColor="text1"/>
              </w:rPr>
              <w:t>at</w:t>
            </w:r>
            <w:r w:rsidRPr="00FC79D1">
              <w:rPr>
                <w:color w:val="000000" w:themeColor="text1"/>
              </w:rPr>
              <w:t xml:space="preserve"> </w:t>
            </w:r>
            <w:r w:rsidR="001C288E">
              <w:rPr>
                <w:color w:val="000000" w:themeColor="text1"/>
              </w:rPr>
              <w:t>1</w:t>
            </w:r>
            <w:r w:rsidRPr="00FC79D1">
              <w:rPr>
                <w:color w:val="000000" w:themeColor="text1"/>
              </w:rPr>
              <w:t xml:space="preserve">5/08/20 Finance Group meeting. </w:t>
            </w:r>
          </w:p>
          <w:p w14:paraId="7E9FA21F" w14:textId="77777777" w:rsidR="00E84A73" w:rsidRPr="00FC79D1" w:rsidRDefault="00E84A73" w:rsidP="00E84A73">
            <w:pPr>
              <w:pStyle w:val="PlainText"/>
              <w:rPr>
                <w:color w:val="000000" w:themeColor="text1"/>
              </w:rPr>
            </w:pPr>
          </w:p>
          <w:p w14:paraId="0E4232BA" w14:textId="77777777" w:rsidR="00E84A73" w:rsidRPr="00FC79D1" w:rsidRDefault="00FC79D1" w:rsidP="00E84A73">
            <w:pPr>
              <w:pStyle w:val="PlainText"/>
              <w:rPr>
                <w:color w:val="000000" w:themeColor="text1"/>
              </w:rPr>
            </w:pPr>
            <w:r w:rsidRPr="00FC79D1">
              <w:rPr>
                <w:color w:val="000000" w:themeColor="text1"/>
              </w:rPr>
              <w:t>Finance Group discussed the matter of historic and future costs. It assessed that historic costs associated with management of the spinney will not be directly comparable going forward due to the change in tree stock in the spinney.</w:t>
            </w:r>
            <w:r w:rsidR="00E84A73" w:rsidRPr="00FC79D1">
              <w:rPr>
                <w:color w:val="000000" w:themeColor="text1"/>
              </w:rPr>
              <w:t xml:space="preserve"> </w:t>
            </w:r>
            <w:r w:rsidRPr="00FC79D1">
              <w:rPr>
                <w:color w:val="000000" w:themeColor="text1"/>
              </w:rPr>
              <w:t xml:space="preserve">The group felt that it was able to reach out to key experts in the Woodland Trust etc to help advise on future costs but that historic costs from the Duchy were unlikely to be helpful. </w:t>
            </w:r>
          </w:p>
          <w:p w14:paraId="152594E5" w14:textId="3A0765F0" w:rsidR="00FC79D1" w:rsidRPr="00FC79D1" w:rsidRDefault="00FC79D1" w:rsidP="00E84A73">
            <w:pPr>
              <w:pStyle w:val="PlainText"/>
              <w:rPr>
                <w:color w:val="000000" w:themeColor="text1"/>
              </w:rPr>
            </w:pPr>
            <w:r w:rsidRPr="00FC79D1">
              <w:rPr>
                <w:color w:val="000000" w:themeColor="text1"/>
              </w:rPr>
              <w:t xml:space="preserve">It was also agreed that funding for any improvements to the spinney or playing field were likely to come </w:t>
            </w:r>
            <w:r w:rsidR="007309F9">
              <w:rPr>
                <w:color w:val="000000" w:themeColor="text1"/>
              </w:rPr>
              <w:t xml:space="preserve">mainly </w:t>
            </w:r>
            <w:r w:rsidRPr="00FC79D1">
              <w:rPr>
                <w:color w:val="000000" w:themeColor="text1"/>
              </w:rPr>
              <w:t>from grants, not Council Tax driven public funds.</w:t>
            </w:r>
          </w:p>
          <w:p w14:paraId="6256BF39" w14:textId="23010094" w:rsidR="00FC79D1" w:rsidRPr="00FC79D1" w:rsidRDefault="00FC79D1" w:rsidP="00E84A73">
            <w:pPr>
              <w:pStyle w:val="PlainText"/>
              <w:rPr>
                <w:color w:val="000000" w:themeColor="text1"/>
              </w:rPr>
            </w:pPr>
            <w:r w:rsidRPr="00FC79D1">
              <w:rPr>
                <w:color w:val="000000" w:themeColor="text1"/>
              </w:rPr>
              <w:t xml:space="preserve">The Clerk outlined she proposed to start early budget planning imminently to ensure that future costs could be well anticipated. </w:t>
            </w:r>
          </w:p>
        </w:tc>
        <w:tc>
          <w:tcPr>
            <w:tcW w:w="2790" w:type="dxa"/>
          </w:tcPr>
          <w:p w14:paraId="34F2CBE5" w14:textId="5FFC1A2D" w:rsidR="00E84A73" w:rsidRPr="00A71F9A" w:rsidRDefault="00FC79D1" w:rsidP="00E84A73">
            <w:r>
              <w:t xml:space="preserve">Action: Finance Group to review as part of the annual risk review of the council and the annual budgeting process. </w:t>
            </w:r>
          </w:p>
        </w:tc>
      </w:tr>
      <w:tr w:rsidR="0029024D" w:rsidRPr="00A71F9A" w14:paraId="2D5F6249" w14:textId="77777777" w:rsidTr="0029024D">
        <w:tc>
          <w:tcPr>
            <w:tcW w:w="1838" w:type="dxa"/>
          </w:tcPr>
          <w:p w14:paraId="4BA4783F" w14:textId="77777777" w:rsidR="0029024D" w:rsidRPr="00A71F9A" w:rsidRDefault="0029024D" w:rsidP="0098256F"/>
        </w:tc>
        <w:tc>
          <w:tcPr>
            <w:tcW w:w="3544" w:type="dxa"/>
          </w:tcPr>
          <w:p w14:paraId="7FA5DCA7" w14:textId="1BCCE558" w:rsidR="0029024D" w:rsidRPr="004971BD" w:rsidRDefault="0029024D" w:rsidP="0098256F">
            <w:pPr>
              <w:pStyle w:val="PlainText"/>
              <w:rPr>
                <w:szCs w:val="22"/>
              </w:rPr>
            </w:pPr>
            <w:r w:rsidRPr="004971BD">
              <w:rPr>
                <w:szCs w:val="22"/>
              </w:rPr>
              <w:t>2d. R</w:t>
            </w:r>
            <w:r w:rsidRPr="004971BD">
              <w:rPr>
                <w:rFonts w:eastAsia="Times New Roman"/>
                <w:color w:val="000000"/>
                <w:szCs w:val="22"/>
              </w:rPr>
              <w:t xml:space="preserve">isk that young people may congregate in the spinney or playing field area resulting in antisocial behaviour that impacts the lives of villagers or </w:t>
            </w:r>
            <w:proofErr w:type="gramStart"/>
            <w:r w:rsidRPr="004971BD">
              <w:rPr>
                <w:rFonts w:eastAsia="Times New Roman"/>
                <w:color w:val="000000"/>
                <w:szCs w:val="22"/>
              </w:rPr>
              <w:t>low level</w:t>
            </w:r>
            <w:proofErr w:type="gramEnd"/>
            <w:r w:rsidRPr="004971BD">
              <w:rPr>
                <w:rFonts w:eastAsia="Times New Roman"/>
                <w:color w:val="000000"/>
                <w:szCs w:val="22"/>
              </w:rPr>
              <w:t xml:space="preserve"> criminal damage against PC property.</w:t>
            </w:r>
          </w:p>
          <w:p w14:paraId="190EF5B8" w14:textId="77777777" w:rsidR="0029024D" w:rsidRPr="004971BD" w:rsidRDefault="0029024D" w:rsidP="0098256F">
            <w:pPr>
              <w:pStyle w:val="PlainText"/>
              <w:rPr>
                <w:szCs w:val="22"/>
              </w:rPr>
            </w:pPr>
          </w:p>
        </w:tc>
        <w:tc>
          <w:tcPr>
            <w:tcW w:w="1417" w:type="dxa"/>
          </w:tcPr>
          <w:p w14:paraId="6DF561D7" w14:textId="3373FE4A" w:rsidR="0029024D" w:rsidRPr="0029024D" w:rsidRDefault="0029024D" w:rsidP="0098256F">
            <w:r w:rsidRPr="0029024D">
              <w:t>L</w:t>
            </w:r>
          </w:p>
        </w:tc>
        <w:tc>
          <w:tcPr>
            <w:tcW w:w="4359" w:type="dxa"/>
          </w:tcPr>
          <w:p w14:paraId="75844955" w14:textId="29EF3F11" w:rsidR="0029024D" w:rsidRPr="004971BD" w:rsidRDefault="0029024D" w:rsidP="0029024D">
            <w:pPr>
              <w:rPr>
                <w:rFonts w:eastAsia="Times New Roman"/>
                <w:color w:val="000000"/>
              </w:rPr>
            </w:pPr>
            <w:r w:rsidRPr="004971BD">
              <w:rPr>
                <w:rFonts w:eastAsia="Times New Roman"/>
                <w:color w:val="000000"/>
              </w:rPr>
              <w:t>Mitigation is to make villagers aware of the use of the area, consult with the neighbourhood police team on practical actions that can protect PC property and help prevent antisocial behaviour escalation, and review the risk in line with the PC's annual risk register review. </w:t>
            </w:r>
          </w:p>
          <w:p w14:paraId="213A22B1" w14:textId="5366D187" w:rsidR="0029024D" w:rsidRPr="004971BD" w:rsidRDefault="0029024D" w:rsidP="004971BD">
            <w:pPr>
              <w:rPr>
                <w:color w:val="000000" w:themeColor="text1"/>
              </w:rPr>
            </w:pPr>
          </w:p>
        </w:tc>
        <w:tc>
          <w:tcPr>
            <w:tcW w:w="2790" w:type="dxa"/>
          </w:tcPr>
          <w:p w14:paraId="4E51A623" w14:textId="51EEC84F" w:rsidR="0029024D" w:rsidRPr="0029024D" w:rsidRDefault="0029024D" w:rsidP="0098256F">
            <w:r w:rsidRPr="0029024D">
              <w:t xml:space="preserve"> </w:t>
            </w:r>
          </w:p>
        </w:tc>
      </w:tr>
    </w:tbl>
    <w:p w14:paraId="7A2BAA1D" w14:textId="77777777" w:rsidR="00810D5F" w:rsidRDefault="00810D5F" w:rsidP="00810D5F">
      <w:pPr>
        <w:pStyle w:val="PlainText"/>
      </w:pPr>
    </w:p>
    <w:p w14:paraId="394CAB15" w14:textId="77777777" w:rsidR="00810D5F" w:rsidRDefault="00810D5F" w:rsidP="00810D5F">
      <w:pPr>
        <w:pStyle w:val="PlainText"/>
      </w:pPr>
    </w:p>
    <w:p w14:paraId="3F68C241" w14:textId="77777777" w:rsidR="00810D5F" w:rsidRPr="00A71F9A" w:rsidRDefault="00810D5F" w:rsidP="00F306FD">
      <w:pPr>
        <w:rPr>
          <w:rFonts w:cstheme="minorHAnsi"/>
        </w:rPr>
      </w:pPr>
    </w:p>
    <w:sectPr w:rsidR="00810D5F" w:rsidRPr="00A71F9A" w:rsidSect="00B226B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94424" w14:textId="77777777" w:rsidR="008E6FCA" w:rsidRDefault="008E6FCA" w:rsidP="003C7CE1">
      <w:pPr>
        <w:spacing w:after="0" w:line="240" w:lineRule="auto"/>
      </w:pPr>
      <w:r>
        <w:separator/>
      </w:r>
    </w:p>
  </w:endnote>
  <w:endnote w:type="continuationSeparator" w:id="0">
    <w:p w14:paraId="33F71C6E" w14:textId="77777777" w:rsidR="008E6FCA" w:rsidRDefault="008E6FCA" w:rsidP="003C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749081"/>
      <w:docPartObj>
        <w:docPartGallery w:val="Page Numbers (Bottom of Page)"/>
        <w:docPartUnique/>
      </w:docPartObj>
    </w:sdtPr>
    <w:sdtEndPr>
      <w:rPr>
        <w:noProof/>
      </w:rPr>
    </w:sdtEndPr>
    <w:sdtContent>
      <w:p w14:paraId="0AC05F90" w14:textId="64D23F00" w:rsidR="003C7CE1" w:rsidRDefault="003C7C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13F95D" w14:textId="77777777" w:rsidR="003C7CE1" w:rsidRDefault="003C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49E40" w14:textId="77777777" w:rsidR="008E6FCA" w:rsidRDefault="008E6FCA" w:rsidP="003C7CE1">
      <w:pPr>
        <w:spacing w:after="0" w:line="240" w:lineRule="auto"/>
      </w:pPr>
      <w:r>
        <w:separator/>
      </w:r>
    </w:p>
  </w:footnote>
  <w:footnote w:type="continuationSeparator" w:id="0">
    <w:p w14:paraId="6B1DA389" w14:textId="77777777" w:rsidR="008E6FCA" w:rsidRDefault="008E6FCA" w:rsidP="003C7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1DD4" w14:textId="08CF23E5" w:rsidR="003C7CE1" w:rsidRDefault="003C7CE1" w:rsidP="003C7CE1">
    <w:pPr>
      <w:rPr>
        <w:b/>
      </w:rPr>
    </w:pPr>
    <w:r>
      <w:rPr>
        <w:b/>
      </w:rPr>
      <w:t xml:space="preserve">Weston on the Green Parish Council Risk Assessment </w:t>
    </w:r>
    <w:r w:rsidRPr="00B226BC">
      <w:rPr>
        <w:b/>
      </w:rPr>
      <w:t>20</w:t>
    </w:r>
    <w:r w:rsidR="00866D7D">
      <w:rPr>
        <w:b/>
      </w:rPr>
      <w:t>20</w:t>
    </w:r>
    <w:r w:rsidRPr="00B226BC">
      <w:rPr>
        <w:b/>
      </w:rPr>
      <w:t xml:space="preserve"> </w:t>
    </w:r>
    <w:r w:rsidR="00FD5944">
      <w:rPr>
        <w:b/>
      </w:rPr>
      <w:t>–</w:t>
    </w:r>
    <w:r w:rsidR="005A288E">
      <w:rPr>
        <w:b/>
      </w:rPr>
      <w:t xml:space="preserve"> </w:t>
    </w:r>
    <w:r w:rsidR="00FD5944">
      <w:rPr>
        <w:b/>
      </w:rPr>
      <w:t>FOR APPROVAL</w:t>
    </w:r>
    <w:r w:rsidR="00CD36FE">
      <w:rPr>
        <w:b/>
      </w:rPr>
      <w:tab/>
    </w:r>
    <w:r>
      <w:rPr>
        <w:b/>
      </w:rPr>
      <w:tab/>
    </w:r>
    <w:r>
      <w:rPr>
        <w:b/>
      </w:rPr>
      <w:tab/>
    </w:r>
    <w:r>
      <w:rPr>
        <w:b/>
      </w:rPr>
      <w:tab/>
    </w:r>
    <w:r>
      <w:rPr>
        <w:b/>
      </w:rPr>
      <w:tab/>
    </w:r>
    <w:r w:rsidR="00876EA5">
      <w:rPr>
        <w:b/>
      </w:rPr>
      <w:t xml:space="preserve">Last Updated: </w:t>
    </w:r>
    <w:r w:rsidR="00CC6AEA">
      <w:rPr>
        <w:b/>
      </w:rPr>
      <w:t xml:space="preserve"> </w:t>
    </w:r>
    <w:r w:rsidR="00D96AC7">
      <w:rPr>
        <w:b/>
      </w:rPr>
      <w:t>8</w:t>
    </w:r>
    <w:r w:rsidR="00D96AC7" w:rsidRPr="00D96AC7">
      <w:rPr>
        <w:b/>
        <w:vertAlign w:val="superscript"/>
      </w:rPr>
      <w:t>th</w:t>
    </w:r>
    <w:r w:rsidR="00D96AC7">
      <w:rPr>
        <w:b/>
      </w:rPr>
      <w:t xml:space="preserve"> </w:t>
    </w:r>
    <w:r w:rsidR="00CC6AEA">
      <w:rPr>
        <w:b/>
      </w:rPr>
      <w:t>Octo</w:t>
    </w:r>
    <w:r w:rsidR="00AE7CEB">
      <w:rPr>
        <w:b/>
      </w:rPr>
      <w:t>ber</w:t>
    </w:r>
    <w:r w:rsidR="00896F09">
      <w:rPr>
        <w:b/>
      </w:rPr>
      <w:t xml:space="preserve"> </w:t>
    </w:r>
    <w:r w:rsidR="00866D7D">
      <w:rPr>
        <w:b/>
      </w:rPr>
      <w:t>2020</w:t>
    </w:r>
  </w:p>
  <w:p w14:paraId="0709FFC1" w14:textId="4F2D5D7F" w:rsidR="00876EA5" w:rsidRPr="00B226BC" w:rsidRDefault="00D96AC7" w:rsidP="003C7CE1">
    <w:pPr>
      <w:rPr>
        <w:b/>
      </w:rPr>
    </w:pPr>
    <w:r>
      <w:rPr>
        <w:b/>
      </w:rPr>
      <w:t>A</w:t>
    </w:r>
    <w:r w:rsidR="00876EA5">
      <w:rPr>
        <w:b/>
      </w:rPr>
      <w:t xml:space="preserve">pproved </w:t>
    </w:r>
    <w:proofErr w:type="gramStart"/>
    <w:r w:rsidR="00876EA5">
      <w:rPr>
        <w:b/>
      </w:rPr>
      <w:t>at</w:t>
    </w:r>
    <w:proofErr w:type="gramEnd"/>
    <w:r w:rsidR="00876EA5">
      <w:rPr>
        <w:b/>
      </w:rPr>
      <w:t xml:space="preserve"> </w:t>
    </w:r>
    <w:r w:rsidR="00AE7CEB">
      <w:rPr>
        <w:b/>
      </w:rPr>
      <w:t>7</w:t>
    </w:r>
    <w:r w:rsidR="00AE7CEB" w:rsidRPr="00AE7CEB">
      <w:rPr>
        <w:b/>
        <w:vertAlign w:val="superscript"/>
      </w:rPr>
      <w:t>th</w:t>
    </w:r>
    <w:r w:rsidR="00AE7CEB">
      <w:rPr>
        <w:b/>
      </w:rPr>
      <w:t xml:space="preserve"> October </w:t>
    </w:r>
    <w:r w:rsidR="00866D7D">
      <w:rPr>
        <w:b/>
      </w:rPr>
      <w:t>2020</w:t>
    </w:r>
    <w:r w:rsidR="00876EA5">
      <w:rPr>
        <w:b/>
      </w:rPr>
      <w:t xml:space="preserve"> Parish Council Meeting</w:t>
    </w:r>
  </w:p>
  <w:p w14:paraId="23324AB5" w14:textId="77777777" w:rsidR="003C7CE1" w:rsidRDefault="003C7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F6CE5"/>
    <w:multiLevelType w:val="multilevel"/>
    <w:tmpl w:val="A112B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56112"/>
    <w:multiLevelType w:val="hybridMultilevel"/>
    <w:tmpl w:val="0960F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B7153"/>
    <w:multiLevelType w:val="multilevel"/>
    <w:tmpl w:val="ACDAB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D0D2A"/>
    <w:multiLevelType w:val="hybridMultilevel"/>
    <w:tmpl w:val="0960F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A33B58"/>
    <w:multiLevelType w:val="multilevel"/>
    <w:tmpl w:val="FC9C7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797F9A"/>
    <w:multiLevelType w:val="multilevel"/>
    <w:tmpl w:val="FC9C7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443F17"/>
    <w:multiLevelType w:val="multilevel"/>
    <w:tmpl w:val="34865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B32F0"/>
    <w:multiLevelType w:val="multilevel"/>
    <w:tmpl w:val="D8167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25A62"/>
    <w:multiLevelType w:val="multilevel"/>
    <w:tmpl w:val="6096C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BC"/>
    <w:rsid w:val="00081BB7"/>
    <w:rsid w:val="000A79E1"/>
    <w:rsid w:val="000D09B1"/>
    <w:rsid w:val="00175753"/>
    <w:rsid w:val="001A0C17"/>
    <w:rsid w:val="001A7FDE"/>
    <w:rsid w:val="001C288E"/>
    <w:rsid w:val="001E0463"/>
    <w:rsid w:val="001E577E"/>
    <w:rsid w:val="0023668E"/>
    <w:rsid w:val="00277936"/>
    <w:rsid w:val="0029024D"/>
    <w:rsid w:val="002C4DFD"/>
    <w:rsid w:val="002E753E"/>
    <w:rsid w:val="00333583"/>
    <w:rsid w:val="003B1DF9"/>
    <w:rsid w:val="003C5B74"/>
    <w:rsid w:val="003C7CE1"/>
    <w:rsid w:val="00410390"/>
    <w:rsid w:val="00461210"/>
    <w:rsid w:val="004731E0"/>
    <w:rsid w:val="004971BD"/>
    <w:rsid w:val="004A352E"/>
    <w:rsid w:val="004E06DC"/>
    <w:rsid w:val="004F7D92"/>
    <w:rsid w:val="00505F44"/>
    <w:rsid w:val="00551C17"/>
    <w:rsid w:val="005804AE"/>
    <w:rsid w:val="005A288E"/>
    <w:rsid w:val="005F6B05"/>
    <w:rsid w:val="0060588B"/>
    <w:rsid w:val="00613D52"/>
    <w:rsid w:val="006439F2"/>
    <w:rsid w:val="00654DD2"/>
    <w:rsid w:val="006D02F1"/>
    <w:rsid w:val="007059FB"/>
    <w:rsid w:val="007309F9"/>
    <w:rsid w:val="00753FF0"/>
    <w:rsid w:val="007C38F2"/>
    <w:rsid w:val="008018AC"/>
    <w:rsid w:val="00810D5F"/>
    <w:rsid w:val="00813C92"/>
    <w:rsid w:val="008172D9"/>
    <w:rsid w:val="00864ED6"/>
    <w:rsid w:val="00866D7D"/>
    <w:rsid w:val="0087387D"/>
    <w:rsid w:val="00876EA5"/>
    <w:rsid w:val="00881BCB"/>
    <w:rsid w:val="00896F09"/>
    <w:rsid w:val="008A1A65"/>
    <w:rsid w:val="008E6FCA"/>
    <w:rsid w:val="00907E1D"/>
    <w:rsid w:val="009A7668"/>
    <w:rsid w:val="009B0E03"/>
    <w:rsid w:val="009C60C6"/>
    <w:rsid w:val="009C62D7"/>
    <w:rsid w:val="009D721B"/>
    <w:rsid w:val="00A71F9A"/>
    <w:rsid w:val="00A7225C"/>
    <w:rsid w:val="00A94853"/>
    <w:rsid w:val="00AE7CEB"/>
    <w:rsid w:val="00B07D3D"/>
    <w:rsid w:val="00B10286"/>
    <w:rsid w:val="00B226BC"/>
    <w:rsid w:val="00C14DBA"/>
    <w:rsid w:val="00CC4DCF"/>
    <w:rsid w:val="00CC6AEA"/>
    <w:rsid w:val="00CD36FE"/>
    <w:rsid w:val="00D146EE"/>
    <w:rsid w:val="00D1683D"/>
    <w:rsid w:val="00D96AC7"/>
    <w:rsid w:val="00DC791E"/>
    <w:rsid w:val="00E512CE"/>
    <w:rsid w:val="00E84A73"/>
    <w:rsid w:val="00EB61B6"/>
    <w:rsid w:val="00EB6FA6"/>
    <w:rsid w:val="00EC5659"/>
    <w:rsid w:val="00ED2D74"/>
    <w:rsid w:val="00EF5A96"/>
    <w:rsid w:val="00F306FD"/>
    <w:rsid w:val="00F36DBE"/>
    <w:rsid w:val="00F44230"/>
    <w:rsid w:val="00F62A8C"/>
    <w:rsid w:val="00FA39A0"/>
    <w:rsid w:val="00FC79D1"/>
    <w:rsid w:val="00FD5944"/>
    <w:rsid w:val="00FE0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D671"/>
  <w15:chartTrackingRefBased/>
  <w15:docId w15:val="{FD561379-9D8D-44E5-825D-ED53E8FD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6FD"/>
    <w:pPr>
      <w:ind w:left="720"/>
      <w:contextualSpacing/>
    </w:pPr>
  </w:style>
  <w:style w:type="paragraph" w:styleId="Header">
    <w:name w:val="header"/>
    <w:basedOn w:val="Normal"/>
    <w:link w:val="HeaderChar"/>
    <w:uiPriority w:val="99"/>
    <w:unhideWhenUsed/>
    <w:rsid w:val="003C7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CE1"/>
  </w:style>
  <w:style w:type="paragraph" w:styleId="Footer">
    <w:name w:val="footer"/>
    <w:basedOn w:val="Normal"/>
    <w:link w:val="FooterChar"/>
    <w:uiPriority w:val="99"/>
    <w:unhideWhenUsed/>
    <w:rsid w:val="003C7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CE1"/>
  </w:style>
  <w:style w:type="paragraph" w:styleId="PlainText">
    <w:name w:val="Plain Text"/>
    <w:basedOn w:val="Normal"/>
    <w:link w:val="PlainTextChar"/>
    <w:uiPriority w:val="99"/>
    <w:unhideWhenUsed/>
    <w:rsid w:val="00810D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10D5F"/>
    <w:rPr>
      <w:rFonts w:ascii="Calibri" w:hAnsi="Calibri"/>
      <w:szCs w:val="21"/>
    </w:rPr>
  </w:style>
  <w:style w:type="paragraph" w:styleId="BalloonText">
    <w:name w:val="Balloon Text"/>
    <w:basedOn w:val="Normal"/>
    <w:link w:val="BalloonTextChar"/>
    <w:uiPriority w:val="99"/>
    <w:semiHidden/>
    <w:unhideWhenUsed/>
    <w:rsid w:val="00817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2D9"/>
    <w:rPr>
      <w:rFonts w:ascii="Segoe UI" w:hAnsi="Segoe UI" w:cs="Segoe UI"/>
      <w:sz w:val="18"/>
      <w:szCs w:val="18"/>
    </w:rPr>
  </w:style>
  <w:style w:type="character" w:styleId="CommentReference">
    <w:name w:val="annotation reference"/>
    <w:basedOn w:val="DefaultParagraphFont"/>
    <w:uiPriority w:val="99"/>
    <w:semiHidden/>
    <w:unhideWhenUsed/>
    <w:rsid w:val="00EF5A96"/>
    <w:rPr>
      <w:sz w:val="16"/>
      <w:szCs w:val="16"/>
    </w:rPr>
  </w:style>
  <w:style w:type="paragraph" w:styleId="CommentText">
    <w:name w:val="annotation text"/>
    <w:basedOn w:val="Normal"/>
    <w:link w:val="CommentTextChar"/>
    <w:uiPriority w:val="99"/>
    <w:semiHidden/>
    <w:unhideWhenUsed/>
    <w:rsid w:val="00EF5A96"/>
    <w:pPr>
      <w:spacing w:line="240" w:lineRule="auto"/>
    </w:pPr>
    <w:rPr>
      <w:sz w:val="20"/>
      <w:szCs w:val="20"/>
    </w:rPr>
  </w:style>
  <w:style w:type="character" w:customStyle="1" w:styleId="CommentTextChar">
    <w:name w:val="Comment Text Char"/>
    <w:basedOn w:val="DefaultParagraphFont"/>
    <w:link w:val="CommentText"/>
    <w:uiPriority w:val="99"/>
    <w:semiHidden/>
    <w:rsid w:val="00EF5A96"/>
    <w:rPr>
      <w:sz w:val="20"/>
      <w:szCs w:val="20"/>
    </w:rPr>
  </w:style>
  <w:style w:type="paragraph" w:styleId="CommentSubject">
    <w:name w:val="annotation subject"/>
    <w:basedOn w:val="CommentText"/>
    <w:next w:val="CommentText"/>
    <w:link w:val="CommentSubjectChar"/>
    <w:uiPriority w:val="99"/>
    <w:semiHidden/>
    <w:unhideWhenUsed/>
    <w:rsid w:val="00EF5A96"/>
    <w:rPr>
      <w:b/>
      <w:bCs/>
    </w:rPr>
  </w:style>
  <w:style w:type="character" w:customStyle="1" w:styleId="CommentSubjectChar">
    <w:name w:val="Comment Subject Char"/>
    <w:basedOn w:val="CommentTextChar"/>
    <w:link w:val="CommentSubject"/>
    <w:uiPriority w:val="99"/>
    <w:semiHidden/>
    <w:rsid w:val="00EF5A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06761">
      <w:bodyDiv w:val="1"/>
      <w:marLeft w:val="0"/>
      <w:marRight w:val="0"/>
      <w:marTop w:val="0"/>
      <w:marBottom w:val="0"/>
      <w:divBdr>
        <w:top w:val="none" w:sz="0" w:space="0" w:color="auto"/>
        <w:left w:val="none" w:sz="0" w:space="0" w:color="auto"/>
        <w:bottom w:val="none" w:sz="0" w:space="0" w:color="auto"/>
        <w:right w:val="none" w:sz="0" w:space="0" w:color="auto"/>
      </w:divBdr>
    </w:div>
    <w:div w:id="349339453">
      <w:bodyDiv w:val="1"/>
      <w:marLeft w:val="0"/>
      <w:marRight w:val="0"/>
      <w:marTop w:val="0"/>
      <w:marBottom w:val="0"/>
      <w:divBdr>
        <w:top w:val="none" w:sz="0" w:space="0" w:color="auto"/>
        <w:left w:val="none" w:sz="0" w:space="0" w:color="auto"/>
        <w:bottom w:val="none" w:sz="0" w:space="0" w:color="auto"/>
        <w:right w:val="none" w:sz="0" w:space="0" w:color="auto"/>
      </w:divBdr>
    </w:div>
    <w:div w:id="645665961">
      <w:bodyDiv w:val="1"/>
      <w:marLeft w:val="0"/>
      <w:marRight w:val="0"/>
      <w:marTop w:val="0"/>
      <w:marBottom w:val="0"/>
      <w:divBdr>
        <w:top w:val="none" w:sz="0" w:space="0" w:color="auto"/>
        <w:left w:val="none" w:sz="0" w:space="0" w:color="auto"/>
        <w:bottom w:val="none" w:sz="0" w:space="0" w:color="auto"/>
        <w:right w:val="none" w:sz="0" w:space="0" w:color="auto"/>
      </w:divBdr>
    </w:div>
    <w:div w:id="683820444">
      <w:bodyDiv w:val="1"/>
      <w:marLeft w:val="0"/>
      <w:marRight w:val="0"/>
      <w:marTop w:val="0"/>
      <w:marBottom w:val="0"/>
      <w:divBdr>
        <w:top w:val="none" w:sz="0" w:space="0" w:color="auto"/>
        <w:left w:val="none" w:sz="0" w:space="0" w:color="auto"/>
        <w:bottom w:val="none" w:sz="0" w:space="0" w:color="auto"/>
        <w:right w:val="none" w:sz="0" w:space="0" w:color="auto"/>
      </w:divBdr>
    </w:div>
    <w:div w:id="1048143692">
      <w:bodyDiv w:val="1"/>
      <w:marLeft w:val="0"/>
      <w:marRight w:val="0"/>
      <w:marTop w:val="0"/>
      <w:marBottom w:val="0"/>
      <w:divBdr>
        <w:top w:val="none" w:sz="0" w:space="0" w:color="auto"/>
        <w:left w:val="none" w:sz="0" w:space="0" w:color="auto"/>
        <w:bottom w:val="none" w:sz="0" w:space="0" w:color="auto"/>
        <w:right w:val="none" w:sz="0" w:space="0" w:color="auto"/>
      </w:divBdr>
    </w:div>
    <w:div w:id="1234468519">
      <w:bodyDiv w:val="1"/>
      <w:marLeft w:val="0"/>
      <w:marRight w:val="0"/>
      <w:marTop w:val="0"/>
      <w:marBottom w:val="0"/>
      <w:divBdr>
        <w:top w:val="none" w:sz="0" w:space="0" w:color="auto"/>
        <w:left w:val="none" w:sz="0" w:space="0" w:color="auto"/>
        <w:bottom w:val="none" w:sz="0" w:space="0" w:color="auto"/>
        <w:right w:val="none" w:sz="0" w:space="0" w:color="auto"/>
      </w:divBdr>
    </w:div>
    <w:div w:id="1431923723">
      <w:bodyDiv w:val="1"/>
      <w:marLeft w:val="0"/>
      <w:marRight w:val="0"/>
      <w:marTop w:val="0"/>
      <w:marBottom w:val="0"/>
      <w:divBdr>
        <w:top w:val="none" w:sz="0" w:space="0" w:color="auto"/>
        <w:left w:val="none" w:sz="0" w:space="0" w:color="auto"/>
        <w:bottom w:val="none" w:sz="0" w:space="0" w:color="auto"/>
        <w:right w:val="none" w:sz="0" w:space="0" w:color="auto"/>
      </w:divBdr>
    </w:div>
    <w:div w:id="1490944190">
      <w:bodyDiv w:val="1"/>
      <w:marLeft w:val="0"/>
      <w:marRight w:val="0"/>
      <w:marTop w:val="0"/>
      <w:marBottom w:val="0"/>
      <w:divBdr>
        <w:top w:val="none" w:sz="0" w:space="0" w:color="auto"/>
        <w:left w:val="none" w:sz="0" w:space="0" w:color="auto"/>
        <w:bottom w:val="none" w:sz="0" w:space="0" w:color="auto"/>
        <w:right w:val="none" w:sz="0" w:space="0" w:color="auto"/>
      </w:divBdr>
    </w:div>
    <w:div w:id="1506900229">
      <w:bodyDiv w:val="1"/>
      <w:marLeft w:val="0"/>
      <w:marRight w:val="0"/>
      <w:marTop w:val="0"/>
      <w:marBottom w:val="0"/>
      <w:divBdr>
        <w:top w:val="none" w:sz="0" w:space="0" w:color="auto"/>
        <w:left w:val="none" w:sz="0" w:space="0" w:color="auto"/>
        <w:bottom w:val="none" w:sz="0" w:space="0" w:color="auto"/>
        <w:right w:val="none" w:sz="0" w:space="0" w:color="auto"/>
      </w:divBdr>
    </w:div>
    <w:div w:id="1633172671">
      <w:bodyDiv w:val="1"/>
      <w:marLeft w:val="0"/>
      <w:marRight w:val="0"/>
      <w:marTop w:val="0"/>
      <w:marBottom w:val="0"/>
      <w:divBdr>
        <w:top w:val="none" w:sz="0" w:space="0" w:color="auto"/>
        <w:left w:val="none" w:sz="0" w:space="0" w:color="auto"/>
        <w:bottom w:val="none" w:sz="0" w:space="0" w:color="auto"/>
        <w:right w:val="none" w:sz="0" w:space="0" w:color="auto"/>
      </w:divBdr>
    </w:div>
    <w:div w:id="1805613101">
      <w:bodyDiv w:val="1"/>
      <w:marLeft w:val="0"/>
      <w:marRight w:val="0"/>
      <w:marTop w:val="0"/>
      <w:marBottom w:val="0"/>
      <w:divBdr>
        <w:top w:val="none" w:sz="0" w:space="0" w:color="auto"/>
        <w:left w:val="none" w:sz="0" w:space="0" w:color="auto"/>
        <w:bottom w:val="none" w:sz="0" w:space="0" w:color="auto"/>
        <w:right w:val="none" w:sz="0" w:space="0" w:color="auto"/>
      </w:divBdr>
    </w:div>
    <w:div w:id="1975598858">
      <w:bodyDiv w:val="1"/>
      <w:marLeft w:val="0"/>
      <w:marRight w:val="0"/>
      <w:marTop w:val="0"/>
      <w:marBottom w:val="0"/>
      <w:divBdr>
        <w:top w:val="none" w:sz="0" w:space="0" w:color="auto"/>
        <w:left w:val="none" w:sz="0" w:space="0" w:color="auto"/>
        <w:bottom w:val="none" w:sz="0" w:space="0" w:color="auto"/>
        <w:right w:val="none" w:sz="0" w:space="0" w:color="auto"/>
      </w:divBdr>
    </w:div>
    <w:div w:id="20321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Whitfield</dc:creator>
  <cp:keywords/>
  <dc:description/>
  <cp:lastModifiedBy>Parish Clerk</cp:lastModifiedBy>
  <cp:revision>2</cp:revision>
  <cp:lastPrinted>2020-02-17T11:25:00Z</cp:lastPrinted>
  <dcterms:created xsi:type="dcterms:W3CDTF">2020-11-23T12:49:00Z</dcterms:created>
  <dcterms:modified xsi:type="dcterms:W3CDTF">2020-11-23T12:49:00Z</dcterms:modified>
</cp:coreProperties>
</file>